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bd06" w14:textId="a76b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представления сведений в органы государственных доходов банками второго уровня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организациями</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27 декабря 2019 года № 1429. Зарегистрирован в Министерстве юстиции Республики Казахстан 30 декабря 2019 года № 19803.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24 и </w:t>
      </w:r>
      <w:r>
        <w:rPr>
          <w:rFonts w:ascii="Times New Roman"/>
          <w:b w:val="false"/>
          <w:i w:val="false"/>
          <w:color w:val="000000"/>
          <w:sz w:val="28"/>
        </w:rPr>
        <w:t>пунктом 4</w:t>
      </w:r>
      <w:r>
        <w:rPr>
          <w:rFonts w:ascii="Times New Roman"/>
          <w:b w:val="false"/>
          <w:i w:val="false"/>
          <w:color w:val="000000"/>
          <w:sz w:val="28"/>
        </w:rPr>
        <w:t xml:space="preserve"> статьи 27 Кодекса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8"/>
        </w:rPr>
        <w:t>статьей 6</w:t>
      </w:r>
      <w:r>
        <w:rPr>
          <w:rFonts w:ascii="Times New Roman"/>
          <w:b w:val="false"/>
          <w:i w:val="false"/>
          <w:color w:val="000000"/>
          <w:sz w:val="28"/>
        </w:rPr>
        <w:t xml:space="preserve"> Конвенции о взаимной административной помощи по налоговым делам, ратифицированной Законом Республики Казахстан от 26 декабря 2014 года № 267-V ЗРК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сроки представления сведений в органы государственных доходов банками второго уровня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организациями.</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r>
              <w:br/>
            </w:r>
            <w:r>
              <w:rPr>
                <w:rFonts w:ascii="Times New Roman"/>
                <w:b w:val="false"/>
                <w:i/>
                <w:color w:val="000000"/>
                <w:sz w:val="20"/>
              </w:rPr>
              <w:t>Республики Казахстан</w:t>
            </w:r>
            <w:r>
              <w:br/>
            </w:r>
            <w:r>
              <w:rPr>
                <w:rFonts w:ascii="Times New Roman"/>
                <w:b w:val="false"/>
                <w:i/>
                <w:color w:val="000000"/>
                <w:sz w:val="20"/>
              </w:rPr>
              <w:t xml:space="preserve">Министр финансов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Национальный Банк</w:t>
      </w:r>
      <w:r>
        <w:br/>
      </w:r>
      <w:r>
        <w:rPr>
          <w:rFonts w:ascii="Times New Roman"/>
          <w:b w:val="false"/>
          <w:i w:val="false"/>
          <w:color w:val="000000"/>
          <w:sz w:val="28"/>
        </w:rPr>
        <w:t>Республики Казахстан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 № 1420</w:t>
            </w:r>
          </w:p>
        </w:tc>
      </w:tr>
    </w:tbl>
    <w:bookmarkStart w:name="z14" w:id="8"/>
    <w:p>
      <w:pPr>
        <w:spacing w:after="0"/>
        <w:ind w:left="0"/>
        <w:jc w:val="left"/>
      </w:pPr>
      <w:r>
        <w:rPr>
          <w:rFonts w:ascii="Times New Roman"/>
          <w:b/>
          <w:i w:val="false"/>
          <w:color w:val="000000"/>
        </w:rPr>
        <w:t xml:space="preserve"> Правила и сроки представления сведений в органы государственных доходов банками второго уровня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организациями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и сроки представления сведений в органы государственных доходов банками второго уровня и организациями, осуществляющими отдельные виды банковских операций, кастодианами, центральным депозитарием, брокерами и (или) дилерами, обладающими правом ведения счетов клиентов в качестве номинальных держателей ценных бумаг, управляющих инвестиционным портфелем, а также страховыми организациями (далее – Правила) разработаны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взаимной административной помощи по налоговым делам, ратифицированной Законом Республики Казахстан от 26 декабря 2014 года (далее – Конвенция), с </w:t>
      </w:r>
      <w:r>
        <w:rPr>
          <w:rFonts w:ascii="Times New Roman"/>
          <w:b w:val="false"/>
          <w:i w:val="false"/>
          <w:color w:val="000000"/>
          <w:sz w:val="28"/>
        </w:rPr>
        <w:t>подпунктом 2)</w:t>
      </w:r>
      <w:r>
        <w:rPr>
          <w:rFonts w:ascii="Times New Roman"/>
          <w:b w:val="false"/>
          <w:i w:val="false"/>
          <w:color w:val="000000"/>
          <w:sz w:val="28"/>
        </w:rPr>
        <w:t xml:space="preserve"> статьи 24 и </w:t>
      </w:r>
      <w:r>
        <w:rPr>
          <w:rFonts w:ascii="Times New Roman"/>
          <w:b w:val="false"/>
          <w:i w:val="false"/>
          <w:color w:val="000000"/>
          <w:sz w:val="28"/>
        </w:rPr>
        <w:t>пунктом 4</w:t>
      </w:r>
      <w:r>
        <w:rPr>
          <w:rFonts w:ascii="Times New Roman"/>
          <w:b w:val="false"/>
          <w:i w:val="false"/>
          <w:color w:val="000000"/>
          <w:sz w:val="28"/>
        </w:rPr>
        <w:t xml:space="preserve"> статьи 27 Кодекса Республики Казахстан от 25 декабря 2017 года "О налогах и других обязательных платежах в бюджет" (Налоговый кодекс).</w:t>
      </w:r>
    </w:p>
    <w:bookmarkEnd w:id="10"/>
    <w:bookmarkStart w:name="z17" w:id="11"/>
    <w:p>
      <w:pPr>
        <w:spacing w:after="0"/>
        <w:ind w:left="0"/>
        <w:jc w:val="both"/>
      </w:pPr>
      <w:r>
        <w:rPr>
          <w:rFonts w:ascii="Times New Roman"/>
          <w:b w:val="false"/>
          <w:i w:val="false"/>
          <w:color w:val="000000"/>
          <w:sz w:val="28"/>
        </w:rPr>
        <w:t>
      2. Правила определяют порядок и сроки представления подотчетными финансовыми организациями сведений о наличии банковских</w:t>
      </w:r>
      <w:r>
        <w:rPr>
          <w:rFonts w:ascii="Times New Roman"/>
          <w:b w:val="false"/>
          <w:i w:val="false"/>
          <w:color w:val="000000"/>
          <w:sz w:val="28"/>
        </w:rPr>
        <w:t xml:space="preserve"> счетов</w:t>
      </w:r>
      <w:r>
        <w:rPr>
          <w:rFonts w:ascii="Times New Roman"/>
          <w:b w:val="false"/>
          <w:i w:val="false"/>
          <w:color w:val="000000"/>
          <w:sz w:val="28"/>
        </w:rPr>
        <w:t xml:space="preserve"> и их номерах,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а также юридических лиц, бенефициарными собственниками которых являются нерезиденты, о наличии счетов для учета ценных бумаг, открытых физическим лицам-нерезидентам, юридическим лицам-нерезидентам, юридическим лицам, бенефициарными собственниками которых являются нерезиденты, об остатках и движении ценных бумаг на этих счетах и о заключенных договорах накопительного страхования, выгодоприобретателями по которым являются физические лица-нерезиденты, в органы государственных доходов.</w:t>
      </w:r>
    </w:p>
    <w:bookmarkEnd w:id="11"/>
    <w:bookmarkStart w:name="z18" w:id="1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активная нефинансовая организация – организация, которая отвечает любому из критериев, указанных в определении активной нефинансовой организации (далее – НФО) в Соглашении;</w:t>
      </w:r>
    </w:p>
    <w:bookmarkEnd w:id="13"/>
    <w:bookmarkStart w:name="z20" w:id="14"/>
    <w:p>
      <w:pPr>
        <w:spacing w:after="0"/>
        <w:ind w:left="0"/>
        <w:jc w:val="both"/>
      </w:pPr>
      <w:r>
        <w:rPr>
          <w:rFonts w:ascii="Times New Roman"/>
          <w:b w:val="false"/>
          <w:i w:val="false"/>
          <w:color w:val="000000"/>
          <w:sz w:val="28"/>
        </w:rPr>
        <w:t>
      2) подотчетная финансовая организация – банки второго уровня и организаций, осуществляющие отдельные виды банковских операций, кастодианы, центральный депозитарий, брокеры и (или) дилеры, обладающие правом ведения счетов клиентов в качестве номинальных держателей ценных бумаг, управляющие инвестиционным портфелем, страховые организации, осуществляющие деятельность по отрасли "страхование жизни";</w:t>
      </w:r>
    </w:p>
    <w:bookmarkEnd w:id="14"/>
    <w:bookmarkStart w:name="z21" w:id="15"/>
    <w:p>
      <w:pPr>
        <w:spacing w:after="0"/>
        <w:ind w:left="0"/>
        <w:jc w:val="both"/>
      </w:pPr>
      <w:r>
        <w:rPr>
          <w:rFonts w:ascii="Times New Roman"/>
          <w:b w:val="false"/>
          <w:i w:val="false"/>
          <w:color w:val="000000"/>
          <w:sz w:val="28"/>
        </w:rPr>
        <w:t>
      3) подотчетный счет – счет или номер договора страхования, по которому передается финансовые сведения в соответствии с Соглашением;</w:t>
      </w:r>
    </w:p>
    <w:bookmarkEnd w:id="15"/>
    <w:bookmarkStart w:name="z22" w:id="16"/>
    <w:p>
      <w:pPr>
        <w:spacing w:after="0"/>
        <w:ind w:left="0"/>
        <w:jc w:val="both"/>
      </w:pPr>
      <w:r>
        <w:rPr>
          <w:rFonts w:ascii="Times New Roman"/>
          <w:b w:val="false"/>
          <w:i w:val="false"/>
          <w:color w:val="000000"/>
          <w:sz w:val="28"/>
        </w:rPr>
        <w:t>
      4) подотчетная юрисдикция – зарубежная страна (территория), подписавшая Соглашение, включенная в перечень подотчетных юрисдикций, который размещается на официальном интернет ресурсе уполномоченного органа и отражает любые изменения;</w:t>
      </w:r>
    </w:p>
    <w:bookmarkEnd w:id="16"/>
    <w:bookmarkStart w:name="z23" w:id="17"/>
    <w:p>
      <w:pPr>
        <w:spacing w:after="0"/>
        <w:ind w:left="0"/>
        <w:jc w:val="both"/>
      </w:pPr>
      <w:r>
        <w:rPr>
          <w:rFonts w:ascii="Times New Roman"/>
          <w:b w:val="false"/>
          <w:i w:val="false"/>
          <w:color w:val="000000"/>
          <w:sz w:val="28"/>
        </w:rPr>
        <w:t>
      5) подотчетное лицо – лицо подотчетной юрисдикции;</w:t>
      </w:r>
    </w:p>
    <w:bookmarkEnd w:id="17"/>
    <w:bookmarkStart w:name="z24" w:id="18"/>
    <w:p>
      <w:pPr>
        <w:spacing w:after="0"/>
        <w:ind w:left="0"/>
        <w:jc w:val="both"/>
      </w:pPr>
      <w:r>
        <w:rPr>
          <w:rFonts w:ascii="Times New Roman"/>
          <w:b w:val="false"/>
          <w:i w:val="false"/>
          <w:color w:val="000000"/>
          <w:sz w:val="28"/>
        </w:rPr>
        <w:t>
      6) ИН – иностранный идентификационный номер налогоплательщика (или его аналог), присвоенный иностранным государством (территорией), налоговым резидентом которого является владелец счета;</w:t>
      </w:r>
    </w:p>
    <w:bookmarkEnd w:id="18"/>
    <w:bookmarkStart w:name="z25" w:id="19"/>
    <w:p>
      <w:pPr>
        <w:spacing w:after="0"/>
        <w:ind w:left="0"/>
        <w:jc w:val="both"/>
      </w:pPr>
      <w:r>
        <w:rPr>
          <w:rFonts w:ascii="Times New Roman"/>
          <w:b w:val="false"/>
          <w:i w:val="false"/>
          <w:color w:val="000000"/>
          <w:sz w:val="28"/>
        </w:rPr>
        <w:t xml:space="preserve">
      7) Соглашение – многостороннее соглашение компетентных органов об автоматическом обмене информацией о финансовых счетах от 29 октября 2014 года, принятое в реализацию </w:t>
      </w:r>
      <w:r>
        <w:rPr>
          <w:rFonts w:ascii="Times New Roman"/>
          <w:b w:val="false"/>
          <w:i w:val="false"/>
          <w:color w:val="000000"/>
          <w:sz w:val="28"/>
        </w:rPr>
        <w:t>статьи 6</w:t>
      </w:r>
      <w:r>
        <w:rPr>
          <w:rFonts w:ascii="Times New Roman"/>
          <w:b w:val="false"/>
          <w:i w:val="false"/>
          <w:color w:val="000000"/>
          <w:sz w:val="28"/>
        </w:rPr>
        <w:t xml:space="preserve"> Конвенции;</w:t>
      </w:r>
    </w:p>
    <w:bookmarkEnd w:id="19"/>
    <w:bookmarkStart w:name="z26" w:id="20"/>
    <w:p>
      <w:pPr>
        <w:spacing w:after="0"/>
        <w:ind w:left="0"/>
        <w:jc w:val="both"/>
      </w:pPr>
      <w:r>
        <w:rPr>
          <w:rFonts w:ascii="Times New Roman"/>
          <w:b w:val="false"/>
          <w:i w:val="false"/>
          <w:color w:val="000000"/>
          <w:sz w:val="28"/>
        </w:rPr>
        <w:t>
      8) финансовые сведения – информация:</w:t>
      </w:r>
    </w:p>
    <w:bookmarkEnd w:id="20"/>
    <w:bookmarkStart w:name="z27" w:id="21"/>
    <w:p>
      <w:pPr>
        <w:spacing w:after="0"/>
        <w:ind w:left="0"/>
        <w:jc w:val="both"/>
      </w:pPr>
      <w:r>
        <w:rPr>
          <w:rFonts w:ascii="Times New Roman"/>
          <w:b w:val="false"/>
          <w:i w:val="false"/>
          <w:color w:val="000000"/>
          <w:sz w:val="28"/>
        </w:rPr>
        <w:t>
      о наличии лицевых счетов для учета ценных бумаг и иных финансовых инструментов, открытых в рамках договоров, заключенных с физическими лицами-нерезидентами, юридическими лицами-нерезидентами, юридическими лицами, бенефициарными собственниками которых являются нерезиденты, а также об остатках ценных бумаг и иных финансовых инструментов на этих счетах;</w:t>
      </w:r>
    </w:p>
    <w:bookmarkEnd w:id="21"/>
    <w:bookmarkStart w:name="z28" w:id="22"/>
    <w:p>
      <w:pPr>
        <w:spacing w:after="0"/>
        <w:ind w:left="0"/>
        <w:jc w:val="both"/>
      </w:pPr>
      <w:r>
        <w:rPr>
          <w:rFonts w:ascii="Times New Roman"/>
          <w:b w:val="false"/>
          <w:i w:val="false"/>
          <w:color w:val="000000"/>
          <w:sz w:val="28"/>
        </w:rPr>
        <w:t>
      о наличии банковских счетов и их номерах, об остатках денег на этих счетах, а также сведения о наличии, виде и стоимости иного имущества, в том числе размещенного на металлических счетах или находящегося в управлении физических лиц-нерезидентов, юридических лиц-нерезидентов, юридических лиц, бенефициарными собственниками которых являются нерезиденты;</w:t>
      </w:r>
    </w:p>
    <w:bookmarkEnd w:id="22"/>
    <w:bookmarkStart w:name="z29" w:id="23"/>
    <w:p>
      <w:pPr>
        <w:spacing w:after="0"/>
        <w:ind w:left="0"/>
        <w:jc w:val="both"/>
      </w:pPr>
      <w:r>
        <w:rPr>
          <w:rFonts w:ascii="Times New Roman"/>
          <w:b w:val="false"/>
          <w:i w:val="false"/>
          <w:color w:val="000000"/>
          <w:sz w:val="28"/>
        </w:rPr>
        <w:t>
      о заключенных договорах накопительного страхования, выгодоприобретателями по которым являются физические лица-нерезиденты;</w:t>
      </w:r>
    </w:p>
    <w:bookmarkEnd w:id="23"/>
    <w:bookmarkStart w:name="z30" w:id="24"/>
    <w:p>
      <w:pPr>
        <w:spacing w:after="0"/>
        <w:ind w:left="0"/>
        <w:jc w:val="both"/>
      </w:pPr>
      <w:r>
        <w:rPr>
          <w:rFonts w:ascii="Times New Roman"/>
          <w:b w:val="false"/>
          <w:i w:val="false"/>
          <w:color w:val="000000"/>
          <w:sz w:val="28"/>
        </w:rPr>
        <w:t>
      в случае счета открытого физическим лицам-нерезидентам, юридическим лицам-нерезидентам, юридическим лицам, бенефициарными собственниками которых являются нерезиденты в рамках осуществления кастодиальной, брокерской и(или) дилерской деятельности:</w:t>
      </w:r>
    </w:p>
    <w:bookmarkEnd w:id="24"/>
    <w:bookmarkStart w:name="z31" w:id="25"/>
    <w:p>
      <w:pPr>
        <w:spacing w:after="0"/>
        <w:ind w:left="0"/>
        <w:jc w:val="both"/>
      </w:pPr>
      <w:r>
        <w:rPr>
          <w:rFonts w:ascii="Times New Roman"/>
          <w:b w:val="false"/>
          <w:i w:val="false"/>
          <w:color w:val="000000"/>
          <w:sz w:val="28"/>
        </w:rPr>
        <w:t>
      общую валовую сумму процентов, общую валовую сумму дивидендов и общую валовую сумму прочего дохода, полученного по активам, которые хранятся на счете, в каждом случае уплаченных или зачисленных на счет (или в отношении счета) в течение соответствующего отчетного периода;</w:t>
      </w:r>
    </w:p>
    <w:bookmarkEnd w:id="25"/>
    <w:bookmarkStart w:name="z32" w:id="26"/>
    <w:p>
      <w:pPr>
        <w:spacing w:after="0"/>
        <w:ind w:left="0"/>
        <w:jc w:val="both"/>
      </w:pPr>
      <w:r>
        <w:rPr>
          <w:rFonts w:ascii="Times New Roman"/>
          <w:b w:val="false"/>
          <w:i w:val="false"/>
          <w:color w:val="000000"/>
          <w:sz w:val="28"/>
        </w:rPr>
        <w:t>
      валовые поступления от продажи или погашения финансовых активов полученных в течение календарного года или иного отчетного периода, в отношение которых финансовая организация Республики Казахстан выступала в качестве кастодиана, брокера и (или) дилера, обладающим правом ведения счетов клиентов в качестве номинального держателя ценных бумаг;</w:t>
      </w:r>
    </w:p>
    <w:bookmarkEnd w:id="26"/>
    <w:bookmarkStart w:name="z33" w:id="27"/>
    <w:p>
      <w:pPr>
        <w:spacing w:after="0"/>
        <w:ind w:left="0"/>
        <w:jc w:val="both"/>
      </w:pPr>
      <w:r>
        <w:rPr>
          <w:rFonts w:ascii="Times New Roman"/>
          <w:b w:val="false"/>
          <w:i w:val="false"/>
          <w:color w:val="000000"/>
          <w:sz w:val="28"/>
        </w:rPr>
        <w:t>
      общую валовую сумму процентов, уплаченных в течение календарного года или соответствующего отчетного периода;</w:t>
      </w:r>
    </w:p>
    <w:bookmarkEnd w:id="27"/>
    <w:bookmarkStart w:name="z34" w:id="28"/>
    <w:p>
      <w:pPr>
        <w:spacing w:after="0"/>
        <w:ind w:left="0"/>
        <w:jc w:val="both"/>
      </w:pPr>
      <w:r>
        <w:rPr>
          <w:rFonts w:ascii="Times New Roman"/>
          <w:b w:val="false"/>
          <w:i w:val="false"/>
          <w:color w:val="000000"/>
          <w:sz w:val="28"/>
        </w:rPr>
        <w:t>
      9) форма самосертификации – заполненная и подписанная клиентом на бумажном носителе либо в электронном виде анкета, требования к которой утверждаются подотчетной организацией самостоятельно на основании Соглашения и включающая ответственность клиента за предоставленную в анкете информацию;</w:t>
      </w:r>
    </w:p>
    <w:bookmarkEnd w:id="28"/>
    <w:bookmarkStart w:name="z35" w:id="29"/>
    <w:p>
      <w:pPr>
        <w:spacing w:after="0"/>
        <w:ind w:left="0"/>
        <w:jc w:val="both"/>
      </w:pPr>
      <w:r>
        <w:rPr>
          <w:rFonts w:ascii="Times New Roman"/>
          <w:b w:val="false"/>
          <w:i w:val="false"/>
          <w:color w:val="000000"/>
          <w:sz w:val="28"/>
        </w:rPr>
        <w:t>
      10) пассивная нефинансовая организация – организация, которая не соответствует критериям активной нефинансовой организации, или организация, которая не является инвестиционной организацией;</w:t>
      </w:r>
    </w:p>
    <w:bookmarkEnd w:id="29"/>
    <w:bookmarkStart w:name="z36" w:id="30"/>
    <w:p>
      <w:pPr>
        <w:spacing w:after="0"/>
        <w:ind w:left="0"/>
        <w:jc w:val="both"/>
      </w:pPr>
      <w:r>
        <w:rPr>
          <w:rFonts w:ascii="Times New Roman"/>
          <w:b w:val="false"/>
          <w:i w:val="false"/>
          <w:color w:val="000000"/>
          <w:sz w:val="28"/>
        </w:rPr>
        <w:t>
      11) уполномоченный орган – Комитет государственных доходов Министерства финансов Республики Казахстан;</w:t>
      </w:r>
    </w:p>
    <w:bookmarkEnd w:id="30"/>
    <w:bookmarkStart w:name="z37" w:id="31"/>
    <w:p>
      <w:pPr>
        <w:spacing w:after="0"/>
        <w:ind w:left="0"/>
        <w:jc w:val="both"/>
      </w:pPr>
      <w:r>
        <w:rPr>
          <w:rFonts w:ascii="Times New Roman"/>
          <w:b w:val="false"/>
          <w:i w:val="false"/>
          <w:color w:val="000000"/>
          <w:sz w:val="28"/>
        </w:rPr>
        <w:t>
      12) счет – текущий и (или) сберегательный счет, металлический счет, а также лицевые счета (субсчета) и внебалансовые счета для учета ценных бумаг и иного имущества;</w:t>
      </w:r>
    </w:p>
    <w:bookmarkEnd w:id="31"/>
    <w:bookmarkStart w:name="z38" w:id="32"/>
    <w:p>
      <w:pPr>
        <w:spacing w:after="0"/>
        <w:ind w:left="0"/>
        <w:jc w:val="both"/>
      </w:pPr>
      <w:r>
        <w:rPr>
          <w:rFonts w:ascii="Times New Roman"/>
          <w:b w:val="false"/>
          <w:i w:val="false"/>
          <w:color w:val="000000"/>
          <w:sz w:val="28"/>
        </w:rPr>
        <w:t>
      13) владелец счета – физическое или юридическое лицо, открывшее счет в соответствии с договором с финансовой организацией.</w:t>
      </w:r>
    </w:p>
    <w:bookmarkEnd w:id="32"/>
    <w:bookmarkStart w:name="z39" w:id="33"/>
    <w:p>
      <w:pPr>
        <w:spacing w:after="0"/>
        <w:ind w:left="0"/>
        <w:jc w:val="left"/>
      </w:pPr>
      <w:r>
        <w:rPr>
          <w:rFonts w:ascii="Times New Roman"/>
          <w:b/>
          <w:i w:val="false"/>
          <w:color w:val="000000"/>
        </w:rPr>
        <w:t xml:space="preserve"> Глава 2. Порядок и сроки представления сведений</w:t>
      </w:r>
    </w:p>
    <w:bookmarkEnd w:id="33"/>
    <w:bookmarkStart w:name="z40" w:id="34"/>
    <w:p>
      <w:pPr>
        <w:spacing w:after="0"/>
        <w:ind w:left="0"/>
        <w:jc w:val="both"/>
      </w:pPr>
      <w:r>
        <w:rPr>
          <w:rFonts w:ascii="Times New Roman"/>
          <w:b w:val="false"/>
          <w:i w:val="false"/>
          <w:color w:val="000000"/>
          <w:sz w:val="28"/>
        </w:rPr>
        <w:t>
      4. Подотчетная финансовая организация в отношении каждого подотчетного счета предоставляет финансовые сведения, в соответствие с Соглашением, по форме (форма 026.00) согласно приложению 1 к настоящим Правилам.</w:t>
      </w:r>
    </w:p>
    <w:bookmarkEnd w:id="34"/>
    <w:bookmarkStart w:name="z41" w:id="35"/>
    <w:p>
      <w:pPr>
        <w:spacing w:after="0"/>
        <w:ind w:left="0"/>
        <w:jc w:val="both"/>
      </w:pPr>
      <w:r>
        <w:rPr>
          <w:rFonts w:ascii="Times New Roman"/>
          <w:b w:val="false"/>
          <w:i w:val="false"/>
          <w:color w:val="000000"/>
          <w:sz w:val="28"/>
        </w:rPr>
        <w:t>
      5. Представление финансовых сведений осуществляется в электронной форме посредством телекоммуникационной сети уполномоченного органа. При представлении сведений финансовая организация получает подтверждение о принятии или непринятии формы органом государственных доходов в электронном виде согласно приложению 2 к настоящим Правилам.</w:t>
      </w:r>
    </w:p>
    <w:bookmarkEnd w:id="35"/>
    <w:bookmarkStart w:name="z42" w:id="36"/>
    <w:p>
      <w:pPr>
        <w:spacing w:after="0"/>
        <w:ind w:left="0"/>
        <w:jc w:val="both"/>
      </w:pPr>
      <w:r>
        <w:rPr>
          <w:rFonts w:ascii="Times New Roman"/>
          <w:b w:val="false"/>
          <w:i w:val="false"/>
          <w:color w:val="000000"/>
          <w:sz w:val="28"/>
        </w:rPr>
        <w:t>
      6. В случае необходимости внесения дополнений и (или) изменений в ранее представленные сведения, подотчетные финансовые организации представляют дополнительные сведения с отметкой исправленный по форме согласно приложению 1 к настоящим Правилам.</w:t>
      </w:r>
    </w:p>
    <w:bookmarkEnd w:id="36"/>
    <w:bookmarkStart w:name="z43" w:id="37"/>
    <w:p>
      <w:pPr>
        <w:spacing w:after="0"/>
        <w:ind w:left="0"/>
        <w:jc w:val="both"/>
      </w:pPr>
      <w:r>
        <w:rPr>
          <w:rFonts w:ascii="Times New Roman"/>
          <w:b w:val="false"/>
          <w:i w:val="false"/>
          <w:color w:val="000000"/>
          <w:sz w:val="28"/>
        </w:rPr>
        <w:t>
      7. В случае выявления представления сведений, не соответствующих настоящим Правилам и положениям Соглашения, уполномоченный орган направляет запрос в адрес подотчетной финансовой организации. Сведения по запросу уполномоченного органа, указанному в настоящем пункте, подлежат представлению не позднее 15 (пятнадцати) календарных дней со дня получения такого запроса.</w:t>
      </w:r>
    </w:p>
    <w:bookmarkEnd w:id="37"/>
    <w:bookmarkStart w:name="z44" w:id="38"/>
    <w:p>
      <w:pPr>
        <w:spacing w:after="0"/>
        <w:ind w:left="0"/>
        <w:jc w:val="both"/>
      </w:pPr>
      <w:r>
        <w:rPr>
          <w:rFonts w:ascii="Times New Roman"/>
          <w:b w:val="false"/>
          <w:i w:val="false"/>
          <w:color w:val="000000"/>
          <w:sz w:val="28"/>
        </w:rPr>
        <w:t>
      8. Финансовые сведения представляются ежегодно не позднее 30 июня года, следующего за отчетным годом. При этом первое представление финансовой информации осуществляется по сведениям, относящимся к 2019 году.</w:t>
      </w:r>
    </w:p>
    <w:bookmarkEnd w:id="38"/>
    <w:bookmarkStart w:name="z45" w:id="39"/>
    <w:p>
      <w:pPr>
        <w:spacing w:after="0"/>
        <w:ind w:left="0"/>
        <w:jc w:val="both"/>
      </w:pPr>
      <w:r>
        <w:rPr>
          <w:rFonts w:ascii="Times New Roman"/>
          <w:b w:val="false"/>
          <w:i w:val="false"/>
          <w:color w:val="000000"/>
          <w:sz w:val="28"/>
        </w:rPr>
        <w:t>
      9. Счет рассматривается как подотчетный счет, начиная с даты, на которую он идентифицируется как таковой в соответствии с формой самосертификации и процедурами определения, предусмотренными в Соглашении.</w:t>
      </w:r>
    </w:p>
    <w:bookmarkEnd w:id="39"/>
    <w:bookmarkStart w:name="z46" w:id="40"/>
    <w:p>
      <w:pPr>
        <w:spacing w:after="0"/>
        <w:ind w:left="0"/>
        <w:jc w:val="both"/>
      </w:pPr>
      <w:r>
        <w:rPr>
          <w:rFonts w:ascii="Times New Roman"/>
          <w:b w:val="false"/>
          <w:i w:val="false"/>
          <w:color w:val="000000"/>
          <w:sz w:val="28"/>
        </w:rPr>
        <w:t>
      10. Остаток денег или объем средств на счете определяется по состоянию на последний день календарного года и в случае закрытия счета в отчетном периоде сообщается о закрытии счета.</w:t>
      </w:r>
    </w:p>
    <w:bookmarkEnd w:id="40"/>
    <w:bookmarkStart w:name="z47" w:id="41"/>
    <w:p>
      <w:pPr>
        <w:spacing w:after="0"/>
        <w:ind w:left="0"/>
        <w:jc w:val="left"/>
      </w:pPr>
      <w:r>
        <w:rPr>
          <w:rFonts w:ascii="Times New Roman"/>
          <w:b/>
          <w:i w:val="false"/>
          <w:color w:val="000000"/>
        </w:rPr>
        <w:t xml:space="preserve"> Глава 3. Составление сведений</w:t>
      </w:r>
    </w:p>
    <w:bookmarkEnd w:id="41"/>
    <w:bookmarkStart w:name="z48" w:id="42"/>
    <w:p>
      <w:pPr>
        <w:spacing w:after="0"/>
        <w:ind w:left="0"/>
        <w:jc w:val="both"/>
      </w:pPr>
      <w:r>
        <w:rPr>
          <w:rFonts w:ascii="Times New Roman"/>
          <w:b w:val="false"/>
          <w:i w:val="false"/>
          <w:color w:val="000000"/>
          <w:sz w:val="28"/>
        </w:rPr>
        <w:t>
      11. При наличии нескольких подотчетных счетов у одного и того же владельца счета по каждому такому счету заполняется отдельная строка.</w:t>
      </w:r>
    </w:p>
    <w:bookmarkEnd w:id="42"/>
    <w:bookmarkStart w:name="z49" w:id="43"/>
    <w:p>
      <w:pPr>
        <w:spacing w:after="0"/>
        <w:ind w:left="0"/>
        <w:jc w:val="both"/>
      </w:pPr>
      <w:r>
        <w:rPr>
          <w:rFonts w:ascii="Times New Roman"/>
          <w:b w:val="false"/>
          <w:i w:val="false"/>
          <w:color w:val="000000"/>
          <w:sz w:val="28"/>
        </w:rPr>
        <w:t>
      12. Все поля и графы, требующие буквенного заполнения, заполняются только на латинском языке с применением транслитерации, соответствующей стандарту ISO 8859.</w:t>
      </w:r>
    </w:p>
    <w:bookmarkEnd w:id="43"/>
    <w:bookmarkStart w:name="z50" w:id="44"/>
    <w:p>
      <w:pPr>
        <w:spacing w:after="0"/>
        <w:ind w:left="0"/>
        <w:jc w:val="both"/>
      </w:pPr>
      <w:r>
        <w:rPr>
          <w:rFonts w:ascii="Times New Roman"/>
          <w:b w:val="false"/>
          <w:i w:val="false"/>
          <w:color w:val="000000"/>
          <w:sz w:val="28"/>
        </w:rPr>
        <w:t>
      13. При указании кода страны применяется код, соответствующий стандарту ISO 3166-1 Альфа 2 Международной организации стандартизации.</w:t>
      </w:r>
    </w:p>
    <w:bookmarkEnd w:id="44"/>
    <w:bookmarkStart w:name="z51" w:id="45"/>
    <w:p>
      <w:pPr>
        <w:spacing w:after="0"/>
        <w:ind w:left="0"/>
        <w:jc w:val="both"/>
      </w:pPr>
      <w:r>
        <w:rPr>
          <w:rFonts w:ascii="Times New Roman"/>
          <w:b w:val="false"/>
          <w:i w:val="false"/>
          <w:color w:val="000000"/>
          <w:sz w:val="28"/>
        </w:rPr>
        <w:t>
      14. При указании кода валюты применяется код, соответствующий стандарту ISO 4217 Международной организации стандартизации.</w:t>
      </w:r>
    </w:p>
    <w:bookmarkEnd w:id="45"/>
    <w:bookmarkStart w:name="z52" w:id="46"/>
    <w:p>
      <w:pPr>
        <w:spacing w:after="0"/>
        <w:ind w:left="0"/>
        <w:jc w:val="both"/>
      </w:pPr>
      <w:r>
        <w:rPr>
          <w:rFonts w:ascii="Times New Roman"/>
          <w:b w:val="false"/>
          <w:i w:val="false"/>
          <w:color w:val="000000"/>
          <w:sz w:val="28"/>
        </w:rPr>
        <w:t>
      15. В разделе "Общая информация" формы 026.00 указываются следующие данные:</w:t>
      </w:r>
    </w:p>
    <w:bookmarkEnd w:id="46"/>
    <w:bookmarkStart w:name="z53" w:id="47"/>
    <w:p>
      <w:pPr>
        <w:spacing w:after="0"/>
        <w:ind w:left="0"/>
        <w:jc w:val="both"/>
      </w:pPr>
      <w:r>
        <w:rPr>
          <w:rFonts w:ascii="Times New Roman"/>
          <w:b w:val="false"/>
          <w:i w:val="false"/>
          <w:color w:val="000000"/>
          <w:sz w:val="28"/>
        </w:rPr>
        <w:t>
      1) в строке 1 указывается тип формы;</w:t>
      </w:r>
    </w:p>
    <w:bookmarkEnd w:id="47"/>
    <w:bookmarkStart w:name="z54" w:id="48"/>
    <w:p>
      <w:pPr>
        <w:spacing w:after="0"/>
        <w:ind w:left="0"/>
        <w:jc w:val="both"/>
      </w:pPr>
      <w:r>
        <w:rPr>
          <w:rFonts w:ascii="Times New Roman"/>
          <w:b w:val="false"/>
          <w:i w:val="false"/>
          <w:color w:val="000000"/>
          <w:sz w:val="28"/>
        </w:rPr>
        <w:t>
      При представлении новых данных впервые за отчетный период отмечается ячейка "основной" или если сведения представляются по запросу уполномоченного органа для исправления ранее представленных сведений, то сведения представляются с исправленной информацией в качестве основных сведений и отмечается ячейка "исправленный".</w:t>
      </w:r>
    </w:p>
    <w:bookmarkEnd w:id="48"/>
    <w:bookmarkStart w:name="z55" w:id="49"/>
    <w:p>
      <w:pPr>
        <w:spacing w:after="0"/>
        <w:ind w:left="0"/>
        <w:jc w:val="both"/>
      </w:pPr>
      <w:r>
        <w:rPr>
          <w:rFonts w:ascii="Times New Roman"/>
          <w:b w:val="false"/>
          <w:i w:val="false"/>
          <w:color w:val="000000"/>
          <w:sz w:val="28"/>
        </w:rPr>
        <w:t>
      Запрос уполномоченного органа направляется посредством информационной системы.</w:t>
      </w:r>
    </w:p>
    <w:bookmarkEnd w:id="49"/>
    <w:bookmarkStart w:name="z56" w:id="50"/>
    <w:p>
      <w:pPr>
        <w:spacing w:after="0"/>
        <w:ind w:left="0"/>
        <w:jc w:val="both"/>
      </w:pPr>
      <w:r>
        <w:rPr>
          <w:rFonts w:ascii="Times New Roman"/>
          <w:b w:val="false"/>
          <w:i w:val="false"/>
          <w:color w:val="000000"/>
          <w:sz w:val="28"/>
        </w:rPr>
        <w:t>
      Финансовые организации, которые не имеют сведений для представления, отмечают ячейку "отсутствуют счета для отчета" и заполняют только раздел "Общая информация".</w:t>
      </w:r>
    </w:p>
    <w:bookmarkEnd w:id="50"/>
    <w:bookmarkStart w:name="z57" w:id="51"/>
    <w:p>
      <w:pPr>
        <w:spacing w:after="0"/>
        <w:ind w:left="0"/>
        <w:jc w:val="both"/>
      </w:pPr>
      <w:r>
        <w:rPr>
          <w:rFonts w:ascii="Times New Roman"/>
          <w:b w:val="false"/>
          <w:i w:val="false"/>
          <w:color w:val="000000"/>
          <w:sz w:val="28"/>
        </w:rPr>
        <w:t>
      2) в строке 2 указывается регистрационный номер предыдущего отчета.</w:t>
      </w:r>
    </w:p>
    <w:bookmarkEnd w:id="51"/>
    <w:bookmarkStart w:name="z58" w:id="52"/>
    <w:p>
      <w:pPr>
        <w:spacing w:after="0"/>
        <w:ind w:left="0"/>
        <w:jc w:val="both"/>
      </w:pPr>
      <w:r>
        <w:rPr>
          <w:rFonts w:ascii="Times New Roman"/>
          <w:b w:val="false"/>
          <w:i w:val="false"/>
          <w:color w:val="000000"/>
          <w:sz w:val="28"/>
        </w:rPr>
        <w:t>
      Строка заполняется при представлении измененных сведений для идентификации предыдущих сведений, подлежащих аннулированию;</w:t>
      </w:r>
    </w:p>
    <w:bookmarkEnd w:id="52"/>
    <w:bookmarkStart w:name="z59" w:id="53"/>
    <w:p>
      <w:pPr>
        <w:spacing w:after="0"/>
        <w:ind w:left="0"/>
        <w:jc w:val="both"/>
      </w:pPr>
      <w:r>
        <w:rPr>
          <w:rFonts w:ascii="Times New Roman"/>
          <w:b w:val="false"/>
          <w:i w:val="false"/>
          <w:color w:val="000000"/>
          <w:sz w:val="28"/>
        </w:rPr>
        <w:t>
      3) в строке 3 указывается отчетный период (день, месяц, год), за который представляются сведения (указывается арабскими цифрами).</w:t>
      </w:r>
    </w:p>
    <w:bookmarkEnd w:id="53"/>
    <w:bookmarkStart w:name="z60" w:id="54"/>
    <w:p>
      <w:pPr>
        <w:spacing w:after="0"/>
        <w:ind w:left="0"/>
        <w:jc w:val="both"/>
      </w:pPr>
      <w:r>
        <w:rPr>
          <w:rFonts w:ascii="Times New Roman"/>
          <w:b w:val="false"/>
          <w:i w:val="false"/>
          <w:color w:val="000000"/>
          <w:sz w:val="28"/>
        </w:rPr>
        <w:t>
      16. В разделе "Информация о финансовой организации" формы 026.00 указываются следующие данные:</w:t>
      </w:r>
    </w:p>
    <w:bookmarkEnd w:id="54"/>
    <w:bookmarkStart w:name="z61" w:id="55"/>
    <w:p>
      <w:pPr>
        <w:spacing w:after="0"/>
        <w:ind w:left="0"/>
        <w:jc w:val="both"/>
      </w:pPr>
      <w:r>
        <w:rPr>
          <w:rFonts w:ascii="Times New Roman"/>
          <w:b w:val="false"/>
          <w:i w:val="false"/>
          <w:color w:val="000000"/>
          <w:sz w:val="28"/>
        </w:rPr>
        <w:t>
      1) в строке 4 указывается бизнес идентификационный</w:t>
      </w:r>
      <w:r>
        <w:rPr>
          <w:rFonts w:ascii="Times New Roman"/>
          <w:b w:val="false"/>
          <w:i w:val="false"/>
          <w:color w:val="000000"/>
          <w:sz w:val="28"/>
        </w:rPr>
        <w:t xml:space="preserve"> номер</w:t>
      </w:r>
      <w:r>
        <w:rPr>
          <w:rFonts w:ascii="Times New Roman"/>
          <w:b w:val="false"/>
          <w:i w:val="false"/>
          <w:color w:val="000000"/>
          <w:sz w:val="28"/>
        </w:rPr>
        <w:t xml:space="preserve"> подотчетной финансовой организации, представляющей сведения;</w:t>
      </w:r>
    </w:p>
    <w:bookmarkEnd w:id="55"/>
    <w:bookmarkStart w:name="z62" w:id="56"/>
    <w:p>
      <w:pPr>
        <w:spacing w:after="0"/>
        <w:ind w:left="0"/>
        <w:jc w:val="both"/>
      </w:pPr>
      <w:r>
        <w:rPr>
          <w:rFonts w:ascii="Times New Roman"/>
          <w:b w:val="false"/>
          <w:i w:val="false"/>
          <w:color w:val="000000"/>
          <w:sz w:val="28"/>
        </w:rPr>
        <w:t>
      2) в строке 5 указывается наименование подотчетной финансовой организации, в соответствии с учредительными и иными документами;</w:t>
      </w:r>
    </w:p>
    <w:bookmarkEnd w:id="56"/>
    <w:bookmarkStart w:name="z63" w:id="57"/>
    <w:p>
      <w:pPr>
        <w:spacing w:after="0"/>
        <w:ind w:left="0"/>
        <w:jc w:val="both"/>
      </w:pPr>
      <w:r>
        <w:rPr>
          <w:rFonts w:ascii="Times New Roman"/>
          <w:b w:val="false"/>
          <w:i w:val="false"/>
          <w:color w:val="000000"/>
          <w:sz w:val="28"/>
        </w:rPr>
        <w:t>
      3) в строке 6 указывается адрес места нахождения (почтовый адрес).</w:t>
      </w:r>
    </w:p>
    <w:bookmarkEnd w:id="57"/>
    <w:bookmarkStart w:name="z64" w:id="58"/>
    <w:p>
      <w:pPr>
        <w:spacing w:after="0"/>
        <w:ind w:left="0"/>
        <w:jc w:val="both"/>
      </w:pPr>
      <w:r>
        <w:rPr>
          <w:rFonts w:ascii="Times New Roman"/>
          <w:b w:val="false"/>
          <w:i w:val="false"/>
          <w:color w:val="000000"/>
          <w:sz w:val="28"/>
        </w:rPr>
        <w:t>
      Если почтовая служба подотчетной финансовой организации не доставляет почту по адресу улицы и подотчетная финансовая организация имеет почтовый индекс, то указывается номер почтового индекса вместо адреса улицы.</w:t>
      </w:r>
    </w:p>
    <w:bookmarkEnd w:id="58"/>
    <w:bookmarkStart w:name="z65" w:id="59"/>
    <w:p>
      <w:pPr>
        <w:spacing w:after="0"/>
        <w:ind w:left="0"/>
        <w:jc w:val="both"/>
      </w:pPr>
      <w:r>
        <w:rPr>
          <w:rFonts w:ascii="Times New Roman"/>
          <w:b w:val="false"/>
          <w:i w:val="false"/>
          <w:color w:val="000000"/>
          <w:sz w:val="28"/>
        </w:rPr>
        <w:t>
      В поле "Ф.И.О. лица, представившего сведения" указываются фамилия, имя, отчество (при его наличии) уполномоченного лица подотчетной финансовой организации;</w:t>
      </w:r>
    </w:p>
    <w:bookmarkEnd w:id="59"/>
    <w:bookmarkStart w:name="z66" w:id="60"/>
    <w:p>
      <w:pPr>
        <w:spacing w:after="0"/>
        <w:ind w:left="0"/>
        <w:jc w:val="both"/>
      </w:pPr>
      <w:r>
        <w:rPr>
          <w:rFonts w:ascii="Times New Roman"/>
          <w:b w:val="false"/>
          <w:i w:val="false"/>
          <w:color w:val="000000"/>
          <w:sz w:val="28"/>
        </w:rPr>
        <w:t>
      В поле "Дата подачи" указывается дата представления сведений в уполномоченный орган.</w:t>
      </w:r>
    </w:p>
    <w:bookmarkEnd w:id="60"/>
    <w:bookmarkStart w:name="z67" w:id="61"/>
    <w:p>
      <w:pPr>
        <w:spacing w:after="0"/>
        <w:ind w:left="0"/>
        <w:jc w:val="both"/>
      </w:pPr>
      <w:r>
        <w:rPr>
          <w:rFonts w:ascii="Times New Roman"/>
          <w:b w:val="false"/>
          <w:i w:val="false"/>
          <w:color w:val="000000"/>
          <w:sz w:val="28"/>
        </w:rPr>
        <w:t>
      17. Раздел "Сведения о владельце счета" формы 026.01 заполняется для отражения представляемых в орган государственных доходов сведений о владельце счета:</w:t>
      </w:r>
    </w:p>
    <w:bookmarkEnd w:id="61"/>
    <w:bookmarkStart w:name="z68" w:id="62"/>
    <w:p>
      <w:pPr>
        <w:spacing w:after="0"/>
        <w:ind w:left="0"/>
        <w:jc w:val="both"/>
      </w:pPr>
      <w:r>
        <w:rPr>
          <w:rFonts w:ascii="Times New Roman"/>
          <w:b w:val="false"/>
          <w:i w:val="false"/>
          <w:color w:val="000000"/>
          <w:sz w:val="28"/>
        </w:rPr>
        <w:t>
      1) в графе А указывается порядковый номер строки в формате 0001;</w:t>
      </w:r>
    </w:p>
    <w:bookmarkEnd w:id="62"/>
    <w:bookmarkStart w:name="z69" w:id="63"/>
    <w:p>
      <w:pPr>
        <w:spacing w:after="0"/>
        <w:ind w:left="0"/>
        <w:jc w:val="both"/>
      </w:pPr>
      <w:r>
        <w:rPr>
          <w:rFonts w:ascii="Times New Roman"/>
          <w:b w:val="false"/>
          <w:i w:val="false"/>
          <w:color w:val="000000"/>
          <w:sz w:val="28"/>
        </w:rPr>
        <w:t>
      2) в графе В указывается код категории владельца счета:</w:t>
      </w:r>
    </w:p>
    <w:bookmarkEnd w:id="63"/>
    <w:bookmarkStart w:name="z70" w:id="64"/>
    <w:p>
      <w:pPr>
        <w:spacing w:after="0"/>
        <w:ind w:left="0"/>
        <w:jc w:val="both"/>
      </w:pPr>
      <w:r>
        <w:rPr>
          <w:rFonts w:ascii="Times New Roman"/>
          <w:b w:val="false"/>
          <w:i w:val="false"/>
          <w:color w:val="000000"/>
          <w:sz w:val="28"/>
        </w:rPr>
        <w:t>
      для юридических лиц – 1;</w:t>
      </w:r>
    </w:p>
    <w:bookmarkEnd w:id="64"/>
    <w:bookmarkStart w:name="z71" w:id="65"/>
    <w:p>
      <w:pPr>
        <w:spacing w:after="0"/>
        <w:ind w:left="0"/>
        <w:jc w:val="both"/>
      </w:pPr>
      <w:r>
        <w:rPr>
          <w:rFonts w:ascii="Times New Roman"/>
          <w:b w:val="false"/>
          <w:i w:val="false"/>
          <w:color w:val="000000"/>
          <w:sz w:val="28"/>
        </w:rPr>
        <w:t>
      для физических лиц – 2;</w:t>
      </w:r>
    </w:p>
    <w:bookmarkEnd w:id="65"/>
    <w:bookmarkStart w:name="z72" w:id="66"/>
    <w:p>
      <w:pPr>
        <w:spacing w:after="0"/>
        <w:ind w:left="0"/>
        <w:jc w:val="both"/>
      </w:pPr>
      <w:r>
        <w:rPr>
          <w:rFonts w:ascii="Times New Roman"/>
          <w:b w:val="false"/>
          <w:i w:val="false"/>
          <w:color w:val="000000"/>
          <w:sz w:val="28"/>
        </w:rPr>
        <w:t>
      3) в графе С указываются имя, фамилия, отчество (при его наличии) физического лица или наименование юридического лица-владельца счета;</w:t>
      </w:r>
    </w:p>
    <w:bookmarkEnd w:id="66"/>
    <w:bookmarkStart w:name="z73" w:id="67"/>
    <w:p>
      <w:pPr>
        <w:spacing w:after="0"/>
        <w:ind w:left="0"/>
        <w:jc w:val="both"/>
      </w:pPr>
      <w:r>
        <w:rPr>
          <w:rFonts w:ascii="Times New Roman"/>
          <w:b w:val="false"/>
          <w:i w:val="false"/>
          <w:color w:val="000000"/>
          <w:sz w:val="28"/>
        </w:rPr>
        <w:t>
      4) в графе D указывается дата рождения физического лица в формате день-месяц-год, если в графе В указано физическое лицо;</w:t>
      </w:r>
    </w:p>
    <w:bookmarkEnd w:id="67"/>
    <w:bookmarkStart w:name="z74" w:id="68"/>
    <w:p>
      <w:pPr>
        <w:spacing w:after="0"/>
        <w:ind w:left="0"/>
        <w:jc w:val="both"/>
      </w:pPr>
      <w:r>
        <w:rPr>
          <w:rFonts w:ascii="Times New Roman"/>
          <w:b w:val="false"/>
          <w:i w:val="false"/>
          <w:color w:val="000000"/>
          <w:sz w:val="28"/>
        </w:rPr>
        <w:t>
      5) в графе E указывается ИН владельца счета. Если отсутствует ИН, то графа не заполняется;</w:t>
      </w:r>
    </w:p>
    <w:bookmarkEnd w:id="68"/>
    <w:bookmarkStart w:name="z75" w:id="69"/>
    <w:p>
      <w:pPr>
        <w:spacing w:after="0"/>
        <w:ind w:left="0"/>
        <w:jc w:val="both"/>
      </w:pPr>
      <w:r>
        <w:rPr>
          <w:rFonts w:ascii="Times New Roman"/>
          <w:b w:val="false"/>
          <w:i w:val="false"/>
          <w:color w:val="000000"/>
          <w:sz w:val="28"/>
        </w:rPr>
        <w:t>
      6) в графе F указывается код страны, выдавшей ИН;</w:t>
      </w:r>
    </w:p>
    <w:bookmarkEnd w:id="69"/>
    <w:bookmarkStart w:name="z76" w:id="70"/>
    <w:p>
      <w:pPr>
        <w:spacing w:after="0"/>
        <w:ind w:left="0"/>
        <w:jc w:val="both"/>
      </w:pPr>
      <w:r>
        <w:rPr>
          <w:rFonts w:ascii="Times New Roman"/>
          <w:b w:val="false"/>
          <w:i w:val="false"/>
          <w:color w:val="000000"/>
          <w:sz w:val="28"/>
        </w:rPr>
        <w:t>
      7) в графе G указывается код страны налогового резидентства владельца счета;</w:t>
      </w:r>
    </w:p>
    <w:bookmarkEnd w:id="70"/>
    <w:bookmarkStart w:name="z77" w:id="71"/>
    <w:p>
      <w:pPr>
        <w:spacing w:after="0"/>
        <w:ind w:left="0"/>
        <w:jc w:val="both"/>
      </w:pPr>
      <w:r>
        <w:rPr>
          <w:rFonts w:ascii="Times New Roman"/>
          <w:b w:val="false"/>
          <w:i w:val="false"/>
          <w:color w:val="000000"/>
          <w:sz w:val="28"/>
        </w:rPr>
        <w:t>
      8) в графе H указывается тип юридического лица – владельца счета; Указанная графа заполняется если в графе В указано юридическое лицо, при этом в зависимости от типа юридического лица заполняются следующие значения:</w:t>
      </w:r>
    </w:p>
    <w:bookmarkEnd w:id="71"/>
    <w:bookmarkStart w:name="z78" w:id="72"/>
    <w:p>
      <w:pPr>
        <w:spacing w:after="0"/>
        <w:ind w:left="0"/>
        <w:jc w:val="both"/>
      </w:pPr>
      <w:r>
        <w:rPr>
          <w:rFonts w:ascii="Times New Roman"/>
          <w:b w:val="false"/>
          <w:i w:val="false"/>
          <w:color w:val="000000"/>
          <w:sz w:val="28"/>
        </w:rPr>
        <w:t>
      CRS 101 – Пассивная нефинансовая организация с одним или несколькими контролирующими лицами являющимися лицами подотчетной юрисдикции;</w:t>
      </w:r>
    </w:p>
    <w:bookmarkEnd w:id="72"/>
    <w:bookmarkStart w:name="z79" w:id="73"/>
    <w:p>
      <w:pPr>
        <w:spacing w:after="0"/>
        <w:ind w:left="0"/>
        <w:jc w:val="both"/>
      </w:pPr>
      <w:r>
        <w:rPr>
          <w:rFonts w:ascii="Times New Roman"/>
          <w:b w:val="false"/>
          <w:i w:val="false"/>
          <w:color w:val="000000"/>
          <w:sz w:val="28"/>
        </w:rPr>
        <w:t>
      CRS 102 – Подотчетное лицо в целях Соглашения;</w:t>
      </w:r>
    </w:p>
    <w:bookmarkEnd w:id="73"/>
    <w:bookmarkStart w:name="z80" w:id="74"/>
    <w:p>
      <w:pPr>
        <w:spacing w:after="0"/>
        <w:ind w:left="0"/>
        <w:jc w:val="both"/>
      </w:pPr>
      <w:r>
        <w:rPr>
          <w:rFonts w:ascii="Times New Roman"/>
          <w:b w:val="false"/>
          <w:i w:val="false"/>
          <w:color w:val="000000"/>
          <w:sz w:val="28"/>
        </w:rPr>
        <w:t>
      CRS 103 – Пассивная нефинансовая организация которая является подотчетным лицом в целях Соглашения;</w:t>
      </w:r>
    </w:p>
    <w:bookmarkEnd w:id="74"/>
    <w:bookmarkStart w:name="z81" w:id="75"/>
    <w:p>
      <w:pPr>
        <w:spacing w:after="0"/>
        <w:ind w:left="0"/>
        <w:jc w:val="both"/>
      </w:pPr>
      <w:r>
        <w:rPr>
          <w:rFonts w:ascii="Times New Roman"/>
          <w:b w:val="false"/>
          <w:i w:val="false"/>
          <w:color w:val="000000"/>
          <w:sz w:val="28"/>
        </w:rPr>
        <w:t>
      9) в строке I указываются код страны, наименование места (области, региона, города республиканского значения), района/города; наименование улицы, номер дома/здания, номер этажа, офиса, почтовый индекс. Под адресом понимается постоянное место жительство владельца счета. В случае отсутствия у подотчетной финансовой организации такого адреса, указывается почтовый адрес, используемый подотчетной финансовой организацией для связи с владельцем счета.</w:t>
      </w:r>
    </w:p>
    <w:bookmarkEnd w:id="75"/>
    <w:bookmarkStart w:name="z82" w:id="76"/>
    <w:p>
      <w:pPr>
        <w:spacing w:after="0"/>
        <w:ind w:left="0"/>
        <w:jc w:val="both"/>
      </w:pPr>
      <w:r>
        <w:rPr>
          <w:rFonts w:ascii="Times New Roman"/>
          <w:b w:val="false"/>
          <w:i w:val="false"/>
          <w:color w:val="000000"/>
          <w:sz w:val="28"/>
        </w:rPr>
        <w:t>
      18. Раздел "Сведения о бенефициарном собственнике или контролирующем лице" формы 026.01 заполняется для представления сведений о бенефициарном собственнике или контролирующем лице пассивной нефинансовой организации, указанных в графе С Раздела "Сведения о владельце счета":</w:t>
      </w:r>
    </w:p>
    <w:bookmarkEnd w:id="76"/>
    <w:bookmarkStart w:name="z83" w:id="77"/>
    <w:p>
      <w:pPr>
        <w:spacing w:after="0"/>
        <w:ind w:left="0"/>
        <w:jc w:val="both"/>
      </w:pPr>
      <w:r>
        <w:rPr>
          <w:rFonts w:ascii="Times New Roman"/>
          <w:b w:val="false"/>
          <w:i w:val="false"/>
          <w:color w:val="000000"/>
          <w:sz w:val="28"/>
        </w:rPr>
        <w:t>
      1) в графе J указывается наименование юридического лица и имя, фамилия, отчество бенефициарного собственника или контролирующего лица;</w:t>
      </w:r>
    </w:p>
    <w:bookmarkEnd w:id="77"/>
    <w:bookmarkStart w:name="z84" w:id="78"/>
    <w:p>
      <w:pPr>
        <w:spacing w:after="0"/>
        <w:ind w:left="0"/>
        <w:jc w:val="both"/>
      </w:pPr>
      <w:r>
        <w:rPr>
          <w:rFonts w:ascii="Times New Roman"/>
          <w:b w:val="false"/>
          <w:i w:val="false"/>
          <w:color w:val="000000"/>
          <w:sz w:val="28"/>
        </w:rPr>
        <w:t>
      2) в графе К указывается дата рождения физического лица в формате день-месяц-год если в графе J указано физическое лицо;</w:t>
      </w:r>
    </w:p>
    <w:bookmarkEnd w:id="78"/>
    <w:bookmarkStart w:name="z85" w:id="79"/>
    <w:p>
      <w:pPr>
        <w:spacing w:after="0"/>
        <w:ind w:left="0"/>
        <w:jc w:val="both"/>
      </w:pPr>
      <w:r>
        <w:rPr>
          <w:rFonts w:ascii="Times New Roman"/>
          <w:b w:val="false"/>
          <w:i w:val="false"/>
          <w:color w:val="000000"/>
          <w:sz w:val="28"/>
        </w:rPr>
        <w:t>
      3) в графе L указывается ИН владельца счета;</w:t>
      </w:r>
    </w:p>
    <w:bookmarkEnd w:id="79"/>
    <w:bookmarkStart w:name="z86" w:id="80"/>
    <w:p>
      <w:pPr>
        <w:spacing w:after="0"/>
        <w:ind w:left="0"/>
        <w:jc w:val="both"/>
      </w:pPr>
      <w:r>
        <w:rPr>
          <w:rFonts w:ascii="Times New Roman"/>
          <w:b w:val="false"/>
          <w:i w:val="false"/>
          <w:color w:val="000000"/>
          <w:sz w:val="28"/>
        </w:rPr>
        <w:t>
      4) в графе M указывается код страны, выдавшей ИН;</w:t>
      </w:r>
    </w:p>
    <w:bookmarkEnd w:id="80"/>
    <w:bookmarkStart w:name="z87" w:id="81"/>
    <w:p>
      <w:pPr>
        <w:spacing w:after="0"/>
        <w:ind w:left="0"/>
        <w:jc w:val="both"/>
      </w:pPr>
      <w:r>
        <w:rPr>
          <w:rFonts w:ascii="Times New Roman"/>
          <w:b w:val="false"/>
          <w:i w:val="false"/>
          <w:color w:val="000000"/>
          <w:sz w:val="28"/>
        </w:rPr>
        <w:t>
      5) в графе N указывается код страны резидентства владельца счета;</w:t>
      </w:r>
    </w:p>
    <w:bookmarkEnd w:id="81"/>
    <w:bookmarkStart w:name="z88" w:id="82"/>
    <w:p>
      <w:pPr>
        <w:spacing w:after="0"/>
        <w:ind w:left="0"/>
        <w:jc w:val="both"/>
      </w:pPr>
      <w:r>
        <w:rPr>
          <w:rFonts w:ascii="Times New Roman"/>
          <w:b w:val="false"/>
          <w:i w:val="false"/>
          <w:color w:val="000000"/>
          <w:sz w:val="28"/>
        </w:rPr>
        <w:t>
      6) в строке О указывается адрес (области, региона, города республиканского значения), района/города; наименование улицы, номер дома/здания, номер этажа, офиса, почтовый индекс. Под адресом понимается постоянное место жительство бенефициарного собственника или контролирующего лица. В случае отсутствия у подотчетной финансовой организации такого адреса, указывается почтовый адрес, используемый подотчетной финансовой организацией для связи с бенефициарным собственником или контролирующим лицом.</w:t>
      </w:r>
    </w:p>
    <w:bookmarkEnd w:id="82"/>
    <w:bookmarkStart w:name="z89" w:id="83"/>
    <w:p>
      <w:pPr>
        <w:spacing w:after="0"/>
        <w:ind w:left="0"/>
        <w:jc w:val="both"/>
      </w:pPr>
      <w:r>
        <w:rPr>
          <w:rFonts w:ascii="Times New Roman"/>
          <w:b w:val="false"/>
          <w:i w:val="false"/>
          <w:color w:val="000000"/>
          <w:sz w:val="28"/>
        </w:rPr>
        <w:t>
      19. Раздел "Финансовые сведения" формы 026.01 заполняется для указания финансовой информации, относящейся к подотчетному счету:</w:t>
      </w:r>
    </w:p>
    <w:bookmarkEnd w:id="83"/>
    <w:bookmarkStart w:name="z90" w:id="84"/>
    <w:p>
      <w:pPr>
        <w:spacing w:after="0"/>
        <w:ind w:left="0"/>
        <w:jc w:val="both"/>
      </w:pPr>
      <w:r>
        <w:rPr>
          <w:rFonts w:ascii="Times New Roman"/>
          <w:b w:val="false"/>
          <w:i w:val="false"/>
          <w:color w:val="000000"/>
          <w:sz w:val="28"/>
        </w:rPr>
        <w:t>
      1) в графе Р указывается номер счета. Номером счета является идентифицирующий номер, присвоенный подотчетной финансовой организацией. Если финансовая организация не имеет систему нумерации, то указывается NANUM;</w:t>
      </w:r>
    </w:p>
    <w:bookmarkEnd w:id="84"/>
    <w:bookmarkStart w:name="z91" w:id="85"/>
    <w:p>
      <w:pPr>
        <w:spacing w:after="0"/>
        <w:ind w:left="0"/>
        <w:jc w:val="both"/>
      </w:pPr>
      <w:r>
        <w:rPr>
          <w:rFonts w:ascii="Times New Roman"/>
          <w:b w:val="false"/>
          <w:i w:val="false"/>
          <w:color w:val="000000"/>
          <w:sz w:val="28"/>
        </w:rPr>
        <w:t>
      2) в графе Q указывается код валюты, указанный в графах S, T, U, V, W;</w:t>
      </w:r>
    </w:p>
    <w:bookmarkEnd w:id="85"/>
    <w:bookmarkStart w:name="z92" w:id="86"/>
    <w:p>
      <w:pPr>
        <w:spacing w:after="0"/>
        <w:ind w:left="0"/>
        <w:jc w:val="both"/>
      </w:pPr>
      <w:r>
        <w:rPr>
          <w:rFonts w:ascii="Times New Roman"/>
          <w:b w:val="false"/>
          <w:i w:val="false"/>
          <w:color w:val="000000"/>
          <w:sz w:val="28"/>
        </w:rPr>
        <w:t>
      3) в графе R проставляется отметка, если счет, указанный в разделе "Финансовые сведения", был закрыт в течение календарного года;</w:t>
      </w:r>
    </w:p>
    <w:bookmarkEnd w:id="86"/>
    <w:bookmarkStart w:name="z93" w:id="87"/>
    <w:p>
      <w:pPr>
        <w:spacing w:after="0"/>
        <w:ind w:left="0"/>
        <w:jc w:val="both"/>
      </w:pPr>
      <w:r>
        <w:rPr>
          <w:rFonts w:ascii="Times New Roman"/>
          <w:b w:val="false"/>
          <w:i w:val="false"/>
          <w:color w:val="000000"/>
          <w:sz w:val="28"/>
        </w:rPr>
        <w:t>
      4) в графе S указывается остаток денег или стоимость на счете по состоянию на конец календарного года или если счет был закрыт в таком периоде, на момент закрытия. При заполнении организацией по страхованию жизни, указывается сформированный резерв не произошедших убытков по договору накопительного страхования на конец календарного года или если договор был расторгнут, размер выкупной суммы на дату расторжения;</w:t>
      </w:r>
    </w:p>
    <w:bookmarkEnd w:id="87"/>
    <w:bookmarkStart w:name="z94" w:id="88"/>
    <w:p>
      <w:pPr>
        <w:spacing w:after="0"/>
        <w:ind w:left="0"/>
        <w:jc w:val="both"/>
      </w:pPr>
      <w:r>
        <w:rPr>
          <w:rFonts w:ascii="Times New Roman"/>
          <w:b w:val="false"/>
          <w:i w:val="false"/>
          <w:color w:val="000000"/>
          <w:sz w:val="28"/>
        </w:rPr>
        <w:t>
      5) в графе T указывается общая валовая сумма выплаченных дивидендов;</w:t>
      </w:r>
    </w:p>
    <w:bookmarkEnd w:id="88"/>
    <w:bookmarkStart w:name="z95" w:id="89"/>
    <w:p>
      <w:pPr>
        <w:spacing w:after="0"/>
        <w:ind w:left="0"/>
        <w:jc w:val="both"/>
      </w:pPr>
      <w:r>
        <w:rPr>
          <w:rFonts w:ascii="Times New Roman"/>
          <w:b w:val="false"/>
          <w:i w:val="false"/>
          <w:color w:val="000000"/>
          <w:sz w:val="28"/>
        </w:rPr>
        <w:t>
      6) в графе U указывается общая валовая сумма выплаченных вознаграждений подотчетной финансовой организацией вознаграждений (процентов) по соответствующему счету;</w:t>
      </w:r>
    </w:p>
    <w:bookmarkEnd w:id="89"/>
    <w:bookmarkStart w:name="z96" w:id="90"/>
    <w:p>
      <w:pPr>
        <w:spacing w:after="0"/>
        <w:ind w:left="0"/>
        <w:jc w:val="both"/>
      </w:pPr>
      <w:r>
        <w:rPr>
          <w:rFonts w:ascii="Times New Roman"/>
          <w:b w:val="false"/>
          <w:i w:val="false"/>
          <w:color w:val="000000"/>
          <w:sz w:val="28"/>
        </w:rPr>
        <w:t>
      7) в графе V указывается общая валовая выручка от продажи или выкупа актива;</w:t>
      </w:r>
    </w:p>
    <w:bookmarkEnd w:id="90"/>
    <w:bookmarkStart w:name="z97" w:id="91"/>
    <w:p>
      <w:pPr>
        <w:spacing w:after="0"/>
        <w:ind w:left="0"/>
        <w:jc w:val="both"/>
      </w:pPr>
      <w:r>
        <w:rPr>
          <w:rFonts w:ascii="Times New Roman"/>
          <w:b w:val="false"/>
          <w:i w:val="false"/>
          <w:color w:val="000000"/>
          <w:sz w:val="28"/>
        </w:rPr>
        <w:t>
      8) в графе W указывается общая валовая сумма прочего дохода;</w:t>
      </w:r>
    </w:p>
    <w:bookmarkEnd w:id="91"/>
    <w:bookmarkStart w:name="z98" w:id="92"/>
    <w:p>
      <w:pPr>
        <w:spacing w:after="0"/>
        <w:ind w:left="0"/>
        <w:jc w:val="both"/>
      </w:pPr>
      <w:r>
        <w:rPr>
          <w:rFonts w:ascii="Times New Roman"/>
          <w:b w:val="false"/>
          <w:i w:val="false"/>
          <w:color w:val="000000"/>
          <w:sz w:val="28"/>
        </w:rPr>
        <w:t>
      9) при заполнении граф S, T, U, V возможно указание более одного вида дохода.</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1420</w:t>
            </w:r>
          </w:p>
        </w:tc>
      </w:tr>
    </w:tbl>
    <w:bookmarkStart w:name="z100"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86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1420</w:t>
            </w:r>
          </w:p>
        </w:tc>
      </w:tr>
    </w:tbl>
    <w:bookmarkStart w:name="z110" w:id="102"/>
    <w:p>
      <w:pPr>
        <w:spacing w:after="0"/>
        <w:ind w:left="0"/>
        <w:jc w:val="left"/>
      </w:pPr>
      <w:r>
        <w:rPr>
          <w:rFonts w:ascii="Times New Roman"/>
          <w:b/>
          <w:i w:val="false"/>
          <w:color w:val="000000"/>
        </w:rPr>
        <w:t xml:space="preserve">                    Подтверждение о принятии или непринятии</w:t>
      </w:r>
      <w:r>
        <w:br/>
      </w:r>
      <w:r>
        <w:rPr>
          <w:rFonts w:ascii="Times New Roman"/>
          <w:b/>
          <w:i w:val="false"/>
          <w:color w:val="000000"/>
        </w:rPr>
        <w:t xml:space="preserve">                   Формы 026.00 уполномоченным органом</w:t>
      </w:r>
    </w:p>
    <w:bookmarkEnd w:id="102"/>
    <w:bookmarkStart w:name="z111" w:id="103"/>
    <w:p>
      <w:pPr>
        <w:spacing w:after="0"/>
        <w:ind w:left="0"/>
        <w:jc w:val="both"/>
      </w:pPr>
      <w:r>
        <w:rPr>
          <w:rFonts w:ascii="Times New Roman"/>
          <w:b w:val="false"/>
          <w:i w:val="false"/>
          <w:color w:val="000000"/>
          <w:sz w:val="28"/>
        </w:rPr>
        <w:t xml:space="preserve">
      Индивидуальный идентификационный номер/бизнес идентификационный  номер </w:t>
      </w:r>
      <w:r>
        <w:br/>
      </w:r>
      <w:r>
        <w:rPr>
          <w:rFonts w:ascii="Times New Roman"/>
          <w:b w:val="false"/>
          <w:i w:val="false"/>
          <w:color w:val="000000"/>
          <w:sz w:val="28"/>
        </w:rPr>
        <w:t>(ИИН/БИН)  Наименование финансовой, спонсирующей, посреднической организации,/</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Код формы версия ____________________________________________________________</w:t>
      </w:r>
      <w:r>
        <w:br/>
      </w:r>
      <w:r>
        <w:rPr>
          <w:rFonts w:ascii="Times New Roman"/>
          <w:b w:val="false"/>
          <w:i w:val="false"/>
          <w:color w:val="000000"/>
          <w:sz w:val="28"/>
        </w:rPr>
        <w:t>Вид формы __________________________________________________________________</w:t>
      </w:r>
      <w:r>
        <w:br/>
      </w:r>
      <w:r>
        <w:rPr>
          <w:rFonts w:ascii="Times New Roman"/>
          <w:b w:val="false"/>
          <w:i w:val="false"/>
          <w:color w:val="000000"/>
          <w:sz w:val="28"/>
        </w:rPr>
        <w:t>Наименование формы _________________________________________________________</w:t>
      </w:r>
      <w:r>
        <w:br/>
      </w:r>
      <w:r>
        <w:rPr>
          <w:rFonts w:ascii="Times New Roman"/>
          <w:b w:val="false"/>
          <w:i w:val="false"/>
          <w:color w:val="000000"/>
          <w:sz w:val="28"/>
        </w:rPr>
        <w:t>Период</w:t>
      </w:r>
      <w:r>
        <w:br/>
      </w:r>
      <w:r>
        <w:rPr>
          <w:rFonts w:ascii="Times New Roman"/>
          <w:b w:val="false"/>
          <w:i w:val="false"/>
          <w:color w:val="000000"/>
          <w:sz w:val="28"/>
        </w:rPr>
        <w:t>Способ приема ________________________________________________________________</w:t>
      </w:r>
      <w:r>
        <w:br/>
      </w:r>
      <w:r>
        <w:rPr>
          <w:rFonts w:ascii="Times New Roman"/>
          <w:b w:val="false"/>
          <w:i w:val="false"/>
          <w:color w:val="000000"/>
          <w:sz w:val="28"/>
        </w:rPr>
        <w:t>Входящий (регистрационный) номер документа Формы 026.00:</w:t>
      </w:r>
      <w:r>
        <w:br/>
      </w:r>
      <w:r>
        <w:rPr>
          <w:rFonts w:ascii="Times New Roman"/>
          <w:b w:val="false"/>
          <w:i w:val="false"/>
          <w:color w:val="000000"/>
          <w:sz w:val="28"/>
        </w:rPr>
        <w:t>_____________________________________________________________________________</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2309"/>
        <w:gridCol w:w="2309"/>
        <w:gridCol w:w="3928"/>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Формы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04"/>
    <w:p>
      <w:pPr>
        <w:spacing w:after="0"/>
        <w:ind w:left="0"/>
        <w:jc w:val="both"/>
      </w:pPr>
      <w:r>
        <w:rPr>
          <w:rFonts w:ascii="Times New Roman"/>
          <w:b w:val="false"/>
          <w:i w:val="false"/>
          <w:color w:val="000000"/>
          <w:sz w:val="28"/>
        </w:rPr>
        <w:t>
      Ошибки при приеме Формы 026.00: Подпись прикладного сервера</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