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внесении изменений и дополнения в приказ Министра финансов Республики Казахстан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 20 февраля 2018 года № 252 «Об утверждении Правил применения системы управления рисками по критериям,  не являющимся конфиденциальной информацией»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СРАВНИТЕЛЬНАЯ ТАБЛИЦА</w:t>
      </w:r>
    </w:p>
    <w:p w:rsidR="00000000" w:rsidDel="00000000" w:rsidP="00000000" w:rsidRDefault="00000000" w:rsidRPr="00000000" w14:paraId="00000004">
      <w:pPr>
        <w:ind w:right="-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tbl>
      <w:tblPr>
        <w:tblStyle w:val="Table1"/>
        <w:tblW w:w="1531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0"/>
        <w:gridCol w:w="5245"/>
        <w:gridCol w:w="5245"/>
        <w:gridCol w:w="4110"/>
        <w:tblGridChange w:id="0">
          <w:tblGrid>
            <w:gridCol w:w="710"/>
            <w:gridCol w:w="5245"/>
            <w:gridCol w:w="5245"/>
            <w:gridCol w:w="4110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№ п/п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Действующая редакция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Предлагаемая редакция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Обоснование</w:t>
            </w:r>
          </w:p>
        </w:tc>
      </w:tr>
      <w:t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5</w:t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Правила применения системы управления рисками по критериям, не являющимся конфиденциальной информацией</w:t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11. Степень риска субъекта категорирования рассчитывается по критериям оценки степени риска, не являющимся конфиденциальной информацией, и критериям оценки степени риска, являющимся к конфиденциальной (служебной) информации, и актуализируется раз в полугодие.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42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отсутствует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11. Степень риска субъекта категорирования рассчитывается по критериям оценки степени риска, не являющимся конфиденциальной информацией, и критериям оценки степени риска, являющимся к конфиденциальной (служебной) информации, и актуализируется раз в полугодие.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42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налогоплательщикам, по которым определена низкая степень риска, в случае непогашения налоговой задолженности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1f497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 (или) задолженности по социальным платежам более тридцати календарных дней, степень риска подлежит актуализации не реже одного раза в месяц.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Согласно положениям Налогового кодекса способы и меры принудительного взыскания налоговой задолженности к налогоплательщикам, отнесенным к низкой степени риска, не принимаются.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Данные нормы направлены на повышение налоговой культуры и стимулирование налогоплательщиков к добровольной и своевременной уплате налогов в полном объеме.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Однако, на практике возникают ситуации, когда налогоплательщики, отнесенные к низкой степени риска, длительное время не погашают налоговую задолженость.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Учитывая, что актуализация степени риска производится один раз в полугодие, у налоговых органов отсутствуют закононные основания для взыскания такой налоговой задолженности.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Более того, существуют риски, что налогоплательщики могут вывести активы и не погасить налоговую задолженность.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Так, например, по состоянию на 1 сентября 2019 года                                      203 569 налогоплательщиков, отнесенных к низкой степени риска, имеют налоговую задолженность на сумму 48,0 млрд.тенге, что составляет 11,5% от общереспубликанской суммы налоговой задолженности. При этом из вышеуказанного количества 144 707 или 71,1% не погашают налоговую задолженность свыше одного месяца. Общая сумма налоговой задолженности таких налогоплательщиков – 29,7 млрд.тенге или 61,9%.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Таким образом, более 70 % налогоплательщиков, отнесенных к низкой степени риска и имеющих налоговую задолженность, не погашают ее более одного месяца, тем самым не исполняют главную обязанность налогоплательщика – своевременно и в полном объеме уплачивать налоги.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Кроме того, в соответствии с пенсионным и социальным законодательством к налогоплательщикам, отнесенным к низкой степени риска, не применяются также меры взыскания задолженности по социальным платежам.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 этом на 1 сентября 2019 года 75101 агент, отнесенный к низкой степени риска, имеет задолженность по обязательным пенсионным взносам (48,4% от всех агентов, имеющих задолженность по ОПВ), а сумма их задолженности по ОПВ составляет 1,4 млрд.тенге или 26,1 % (!) от общей суммы задолженности по ОПВ.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Отмечаем, что 53 528 агентов, которые являются налогоплательщиками, отнесенными к низкой степени риска, (72,6%) не погашают задолженность по ОПВ свыше одного месяца, а сумма из задолженности составляет 1,0 млрд.тенге (72,6%).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Таким оборазом, отнесение налогоплательщика к низкой степени риска не позволяет налоговым органам принять в отношении такого агента меры взыскания задолженности по ОПВ, что ущемляет интересы вкладчиков ОПВ.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связи с чем, в целях защиты интересов государства, а также работников, в пользу которых не перечисляются социальные платежи, полагаем необходимым исключать налогоплательщиков из категории низкой степени риска в случае непогашения ими налоговой задолженности, а также задолженности по социальным платежам более одного месяца.</w:t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17. Критерий «Многократное внесение изменений и дополнений в ранее представленную налоговую отчетность» определяется в случае, если налогоплательщиком представлено более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десяти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дополнительных деклараций к уменьшению по корпоративному подоходному налогу и (или) налогу на добавленную стоимость, при этом с даты, установленной для представления таких деклараций, истекло двенадцать и более месяцев.</w:t>
            </w:r>
          </w:p>
          <w:p w:rsidR="00000000" w:rsidDel="00000000" w:rsidP="00000000" w:rsidRDefault="00000000" w:rsidRPr="00000000" w14:paraId="00000024">
            <w:pPr>
              <w:ind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rtl w:val="0"/>
              </w:rPr>
              <w:t xml:space="preserve">Период, за который производится расчет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trike w:val="0"/>
                <w:color w:val="000000"/>
                <w:sz w:val="28"/>
                <w:szCs w:val="28"/>
                <w:u w:val="none"/>
                <w:rtl w:val="0"/>
              </w:rPr>
              <w:t xml:space="preserve">, является последние шесть месяцев.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rtl w:val="0"/>
              </w:rPr>
              <w:t xml:space="preserve">Критерий не применяется по налогоплательщикам, состоящим на мониторинге крупных налогоплательщиков.</w:t>
            </w:r>
          </w:p>
          <w:p w:rsidR="00000000" w:rsidDel="00000000" w:rsidP="00000000" w:rsidRDefault="00000000" w:rsidRPr="00000000" w14:paraId="0000002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rtl w:val="0"/>
              </w:rPr>
              <w:t xml:space="preserve">Приоритетность данного критерия – плюс 4 балла, влияние на степень риска – отрицательное.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17. Критерий «Многократное внесение изменений и дополнений в ранее представленную налоговую отчетность» определяется в случае, если налогоплательщиком представлено более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пяти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дополнительных деклараций к уменьшению по корпоративному подоходному налогу и (или) налогу на добавленную стоимость, при этом с даты, установленной для представления таких деклараций, истекло двенадцать и более месяцев.</w:t>
            </w:r>
          </w:p>
          <w:p w:rsidR="00000000" w:rsidDel="00000000" w:rsidP="00000000" w:rsidRDefault="00000000" w:rsidRPr="00000000" w14:paraId="00000028">
            <w:pPr>
              <w:ind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rtl w:val="0"/>
              </w:rPr>
              <w:t xml:space="preserve">Период, за который производится расчет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trike w:val="0"/>
                <w:color w:val="000000"/>
                <w:sz w:val="28"/>
                <w:szCs w:val="28"/>
                <w:u w:val="none"/>
                <w:rtl w:val="0"/>
              </w:rPr>
              <w:t xml:space="preserve">–  шесть месяцев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предшествующих дате, установленной пунктом 8 настоящих Правил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trike w:val="0"/>
                <w:color w:val="000000"/>
                <w:sz w:val="28"/>
                <w:szCs w:val="28"/>
                <w:u w:val="no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rtl w:val="0"/>
              </w:rPr>
              <w:t xml:space="preserve">Критерий не применяется по налогоплательщикам, состоящим на мониторинге крупных налогоплательщиков.</w:t>
            </w:r>
          </w:p>
          <w:p w:rsidR="00000000" w:rsidDel="00000000" w:rsidP="00000000" w:rsidRDefault="00000000" w:rsidRPr="00000000" w14:paraId="0000002A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rtl w:val="0"/>
              </w:rPr>
              <w:t xml:space="preserve">Приоритетность данного критерия – плюс 4 балла, влияние на степень риска – отрицательное.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соответствии с рекомендациями  Счетного комитета по контролю за исполнением республиканского бюджета Республики Казахстан по результатам государственного аудита необходимо до 3 января 2020 года принять меры по внесению изменений и дополнений в Правила применения системы управления рисками по критериям, не являющимся конфиденциальной информацией, утвержденным приказом Министра финансов Республики Казахстан от 20 февраля 2018 года №252, касательно пересмотра критерия «Многократное внесение изменений и дополнений в ранее представленную налоговую отчетность». Указанный критерий не срабатывает на налогоплательщиках ложно исполняющих уведомления по результатам камерального контроля, т.е. минимизирующих свои возникшие обязательства дополнительными декларациями за истекшие налоговые периоды.</w:t>
            </w:r>
          </w:p>
          <w:p w:rsidR="00000000" w:rsidDel="00000000" w:rsidP="00000000" w:rsidRDefault="00000000" w:rsidRPr="00000000" w14:paraId="0000002C">
            <w:pPr>
              <w:ind w:firstLine="709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Так по итогам расчета данного критерия на 01.04.2019 года только 28 налогоплательщиков представили за последние шесть месяцев более 10 дополнительных деклараций к уменьшению по корпоративному подоходному налогу и (или) налогу на добавленную стоимость за периоды 2014-2016 года. При этом количество налогоплательщиков в этот период сминимизировавших свои обязательства в рамках исполнения уведомлений по камеральному контролю составило 1038.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Критерий «Выписка счетов-фактур в электронном виде» определяется в случае выписки счетов-фактур в электронном виде.</w:t>
            </w:r>
          </w:p>
          <w:p w:rsidR="00000000" w:rsidDel="00000000" w:rsidP="00000000" w:rsidRDefault="00000000" w:rsidRPr="00000000" w14:paraId="00000030">
            <w:pPr>
              <w:ind w:left="33" w:firstLine="709"/>
              <w:jc w:val="both"/>
              <w:rPr>
                <w:rFonts w:ascii="Times New Roman" w:cs="Times New Roman" w:eastAsia="Times New Roman" w:hAnsi="Times New Roman"/>
                <w:b w:val="1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rtl w:val="0"/>
              </w:rPr>
              <w:t xml:space="preserve">Приоритетность данного критерия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trike w:val="0"/>
                <w:color w:val="000000"/>
                <w:sz w:val="28"/>
                <w:szCs w:val="28"/>
                <w:u w:val="none"/>
                <w:rtl w:val="0"/>
              </w:rPr>
              <w:t xml:space="preserve"> – минус 2 балла, влияние на степень риска – положительное.</w:t>
            </w:r>
          </w:p>
          <w:p w:rsidR="00000000" w:rsidDel="00000000" w:rsidP="00000000" w:rsidRDefault="00000000" w:rsidRPr="00000000" w14:paraId="00000031">
            <w:pPr>
              <w:ind w:firstLine="70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23. Критерий «Выписка счетов-фактур в электронном виде» определяется в случае выписки счетов-фактур в электронном виде.</w:t>
            </w:r>
          </w:p>
          <w:p w:rsidR="00000000" w:rsidDel="00000000" w:rsidP="00000000" w:rsidRDefault="00000000" w:rsidRPr="00000000" w14:paraId="00000033">
            <w:pPr>
              <w:ind w:firstLine="709"/>
              <w:jc w:val="both"/>
              <w:rPr>
                <w:rFonts w:ascii="Times New Roman" w:cs="Times New Roman" w:eastAsia="Times New Roman" w:hAnsi="Times New Roman"/>
                <w:b w:val="1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rtl w:val="0"/>
              </w:rPr>
              <w:t xml:space="preserve">Приоритетность данного критерия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trike w:val="0"/>
                <w:color w:val="000000"/>
                <w:sz w:val="28"/>
                <w:szCs w:val="28"/>
                <w:u w:val="no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ind w:firstLine="709"/>
              <w:jc w:val="both"/>
              <w:rPr>
                <w:rFonts w:ascii="Times New Roman" w:cs="Times New Roman" w:eastAsia="Times New Roman" w:hAnsi="Times New Roman"/>
                <w:b w:val="1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trike w:val="0"/>
                <w:color w:val="000000"/>
                <w:sz w:val="28"/>
                <w:szCs w:val="28"/>
                <w:u w:val="none"/>
                <w:rtl w:val="0"/>
              </w:rPr>
              <w:t xml:space="preserve">минус 1 балл для налогоплательщиков, состоящих на регистрационном учете по налогу на добавленную стоимость;</w:t>
            </w:r>
          </w:p>
          <w:p w:rsidR="00000000" w:rsidDel="00000000" w:rsidP="00000000" w:rsidRDefault="00000000" w:rsidRPr="00000000" w14:paraId="00000035">
            <w:pPr>
              <w:ind w:firstLine="709"/>
              <w:jc w:val="both"/>
              <w:rPr>
                <w:rFonts w:ascii="Times New Roman" w:cs="Times New Roman" w:eastAsia="Times New Roman" w:hAnsi="Times New Roman"/>
                <w:b w:val="1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trike w:val="0"/>
                <w:color w:val="000000"/>
                <w:sz w:val="28"/>
                <w:szCs w:val="28"/>
                <w:u w:val="none"/>
                <w:rtl w:val="0"/>
              </w:rPr>
              <w:t xml:space="preserve">минус 2 балла для налогоплательщиков, не состоящих на регистрационном учете по налогу на добавленную стоимость. </w:t>
            </w:r>
          </w:p>
          <w:p w:rsidR="00000000" w:rsidDel="00000000" w:rsidP="00000000" w:rsidRDefault="00000000" w:rsidRPr="00000000" w14:paraId="00000036">
            <w:pPr>
              <w:ind w:firstLine="709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trike w:val="0"/>
                <w:color w:val="000000"/>
                <w:sz w:val="28"/>
                <w:szCs w:val="28"/>
                <w:u w:val="none"/>
                <w:rtl w:val="0"/>
              </w:rPr>
              <w:t xml:space="preserve">Влияние на степень риска – положительное.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left="33" w:firstLine="70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 1 января 2019 года все плательщики налога на добавленную стоимость обязаны выписывать счета-фактуры в электронном виде.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Изменение вносится для стимулирования налогоплательщиков, не состоящих на регистрационном учете по налогу на добавленную стоимость, к электронным формам выписки счетов-фактур по реализации товаров, выполнении работ и оказания услуг.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Расширение цифровизации в налоговом администрировании даст равнозначный эффект как для бизнеса, так и для государства (ускорение оборота денежных средств налогоплательщиков, улучшение отношений с поставщиками, повышение качества бухгалтерского и налогового учета, основа полноценной разработки государственной услуги по  предзаполнению форм налоговой отчетности, борьба с теневым оборотом, увеличение налоговых поступлений).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42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отсутствует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25. Критерий «Отсутствие последовательной задолженности по налогам и социальным платежам» определяется по состоянию на последнее число шести месяцев, предшествующих дате, установленной пунктом 8 настоящих Правил.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Приоритетность данного критерия минус 3 балла, влияние на степень риска – положительное.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Стимулирование своевременной уплаты налогов и социальных платежей</w:t>
            </w:r>
          </w:p>
        </w:tc>
      </w:tr>
    </w:tbl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/>
      <w:pgMar w:bottom="426" w:top="1560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3"/>
      <w:numFmt w:val="decimal"/>
      <w:lvlText w:val="%1."/>
      <w:lvlJc w:val="left"/>
      <w:pPr>
        <w:ind w:left="1051" w:hanging="375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56" w:hanging="360"/>
      </w:pPr>
      <w:rPr/>
    </w:lvl>
    <w:lvl w:ilvl="2">
      <w:start w:val="1"/>
      <w:numFmt w:val="lowerRoman"/>
      <w:lvlText w:val="%3."/>
      <w:lvlJc w:val="right"/>
      <w:pPr>
        <w:ind w:left="2476" w:hanging="180"/>
      </w:pPr>
      <w:rPr/>
    </w:lvl>
    <w:lvl w:ilvl="3">
      <w:start w:val="1"/>
      <w:numFmt w:val="decimal"/>
      <w:lvlText w:val="%4."/>
      <w:lvlJc w:val="left"/>
      <w:pPr>
        <w:ind w:left="3196" w:hanging="360"/>
      </w:pPr>
      <w:rPr/>
    </w:lvl>
    <w:lvl w:ilvl="4">
      <w:start w:val="1"/>
      <w:numFmt w:val="lowerLetter"/>
      <w:lvlText w:val="%5."/>
      <w:lvlJc w:val="left"/>
      <w:pPr>
        <w:ind w:left="3916" w:hanging="360"/>
      </w:pPr>
      <w:rPr/>
    </w:lvl>
    <w:lvl w:ilvl="5">
      <w:start w:val="1"/>
      <w:numFmt w:val="lowerRoman"/>
      <w:lvlText w:val="%6."/>
      <w:lvlJc w:val="right"/>
      <w:pPr>
        <w:ind w:left="4636" w:hanging="180"/>
      </w:pPr>
      <w:rPr/>
    </w:lvl>
    <w:lvl w:ilvl="6">
      <w:start w:val="1"/>
      <w:numFmt w:val="decimal"/>
      <w:lvlText w:val="%7."/>
      <w:lvlJc w:val="left"/>
      <w:pPr>
        <w:ind w:left="5356" w:hanging="360"/>
      </w:pPr>
      <w:rPr/>
    </w:lvl>
    <w:lvl w:ilvl="7">
      <w:start w:val="1"/>
      <w:numFmt w:val="lowerLetter"/>
      <w:lvlText w:val="%8."/>
      <w:lvlJc w:val="left"/>
      <w:pPr>
        <w:ind w:left="6076" w:hanging="360"/>
      </w:pPr>
      <w:rPr/>
    </w:lvl>
    <w:lvl w:ilvl="8">
      <w:start w:val="1"/>
      <w:numFmt w:val="lowerRoman"/>
      <w:lvlText w:val="%9."/>
      <w:lvlJc w:val="right"/>
      <w:pPr>
        <w:ind w:left="6796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kk-K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