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102D" w14:textId="77777777" w:rsidR="0097608C" w:rsidRPr="00246D4D" w:rsidRDefault="00D77C24" w:rsidP="0097608C">
      <w:pPr>
        <w:spacing w:after="0" w:line="240" w:lineRule="auto"/>
        <w:jc w:val="center"/>
        <w:rPr>
          <w:rFonts w:ascii="Times New Roman" w:eastAsia="Times New Roman" w:hAnsi="Times New Roman"/>
          <w:b/>
          <w:bCs/>
          <w:color w:val="000000"/>
          <w:sz w:val="28"/>
          <w:szCs w:val="28"/>
          <w:bdr w:val="none" w:sz="0" w:space="0" w:color="auto" w:frame="1"/>
        </w:rPr>
      </w:pPr>
      <w:bookmarkStart w:id="0" w:name="_GoBack"/>
      <w:bookmarkEnd w:id="0"/>
      <w:r w:rsidRPr="00246D4D">
        <w:rPr>
          <w:rFonts w:ascii="Times New Roman" w:eastAsia="Times New Roman" w:hAnsi="Times New Roman"/>
          <w:b/>
          <w:bCs/>
          <w:color w:val="000000"/>
          <w:sz w:val="28"/>
          <w:szCs w:val="28"/>
          <w:bdr w:val="none" w:sz="0" w:space="0" w:color="auto" w:frame="1"/>
        </w:rPr>
        <w:t xml:space="preserve">Сравнительная таблица </w:t>
      </w:r>
    </w:p>
    <w:p w14:paraId="288A7081" w14:textId="77777777" w:rsidR="006A5508" w:rsidRPr="00246D4D" w:rsidRDefault="00B75C49" w:rsidP="002A63F9">
      <w:pPr>
        <w:spacing w:after="0" w:line="240" w:lineRule="auto"/>
        <w:jc w:val="center"/>
        <w:rPr>
          <w:rFonts w:ascii="Times New Roman" w:eastAsia="Times New Roman" w:hAnsi="Times New Roman"/>
          <w:b/>
          <w:spacing w:val="2"/>
          <w:lang w:eastAsia="ru-RU"/>
        </w:rPr>
      </w:pPr>
      <w:r w:rsidRPr="00246D4D">
        <w:rPr>
          <w:rFonts w:ascii="Times New Roman" w:eastAsia="Times New Roman" w:hAnsi="Times New Roman"/>
          <w:b/>
          <w:bCs/>
          <w:color w:val="000000"/>
          <w:sz w:val="28"/>
          <w:szCs w:val="28"/>
          <w:bdr w:val="none" w:sz="0" w:space="0" w:color="auto" w:frame="1"/>
        </w:rPr>
        <w:t xml:space="preserve">к </w:t>
      </w:r>
      <w:r w:rsidR="002A63F9" w:rsidRPr="00246D4D">
        <w:rPr>
          <w:rFonts w:ascii="Times New Roman" w:eastAsia="Times New Roman" w:hAnsi="Times New Roman"/>
          <w:b/>
          <w:bCs/>
          <w:color w:val="000000"/>
          <w:sz w:val="28"/>
          <w:szCs w:val="28"/>
          <w:bdr w:val="none" w:sz="0" w:space="0" w:color="auto" w:frame="1"/>
        </w:rPr>
        <w:t>проекту приказа Первого заместителя Премьер-Министра Республики Казахстан – Министра финансов Республики Казахстан «</w:t>
      </w:r>
      <w:r w:rsidR="001F4714" w:rsidRPr="005B5DDE">
        <w:rPr>
          <w:rFonts w:ascii="Times New Roman" w:eastAsia="Times New Roman" w:hAnsi="Times New Roman"/>
          <w:b/>
          <w:bCs/>
          <w:color w:val="000000"/>
          <w:sz w:val="28"/>
          <w:szCs w:val="28"/>
          <w:bdr w:val="none" w:sz="0" w:space="0" w:color="auto" w:frame="1"/>
        </w:rPr>
        <w:t>О внесении изменени</w:t>
      </w:r>
      <w:r w:rsidR="001F4714">
        <w:rPr>
          <w:rFonts w:ascii="Times New Roman" w:eastAsia="Times New Roman" w:hAnsi="Times New Roman"/>
          <w:b/>
          <w:bCs/>
          <w:color w:val="000000"/>
          <w:sz w:val="28"/>
          <w:szCs w:val="28"/>
          <w:bdr w:val="none" w:sz="0" w:space="0" w:color="auto" w:frame="1"/>
        </w:rPr>
        <w:t xml:space="preserve">й и дополнений </w:t>
      </w:r>
      <w:r w:rsidR="001F4714" w:rsidRPr="005B5DDE">
        <w:rPr>
          <w:rFonts w:ascii="Times New Roman" w:eastAsia="Times New Roman" w:hAnsi="Times New Roman"/>
          <w:b/>
          <w:bCs/>
          <w:color w:val="000000"/>
          <w:sz w:val="28"/>
          <w:szCs w:val="28"/>
          <w:bdr w:val="none" w:sz="0" w:space="0" w:color="auto" w:frame="1"/>
        </w:rPr>
        <w:t>в приказ</w:t>
      </w:r>
      <w:r w:rsidR="002A63F9" w:rsidRPr="00246D4D">
        <w:rPr>
          <w:rFonts w:ascii="Times New Roman" w:eastAsia="Times New Roman" w:hAnsi="Times New Roman"/>
          <w:b/>
          <w:bCs/>
          <w:color w:val="000000"/>
          <w:sz w:val="28"/>
          <w:szCs w:val="28"/>
          <w:bdr w:val="none" w:sz="0" w:space="0" w:color="auto" w:frame="1"/>
        </w:rPr>
        <w:t xml:space="preserve"> Первого заместителя Премьер-Министра Республики Казахстан – Министра финансов Респ</w:t>
      </w:r>
      <w:r w:rsidR="00F62B1A" w:rsidRPr="00246D4D">
        <w:rPr>
          <w:rFonts w:ascii="Times New Roman" w:eastAsia="Times New Roman" w:hAnsi="Times New Roman"/>
          <w:b/>
          <w:bCs/>
          <w:color w:val="000000"/>
          <w:sz w:val="28"/>
          <w:szCs w:val="28"/>
          <w:bdr w:val="none" w:sz="0" w:space="0" w:color="auto" w:frame="1"/>
        </w:rPr>
        <w:t xml:space="preserve">ублики Казахстан от 3 октября </w:t>
      </w:r>
      <w:r w:rsidR="002A63F9" w:rsidRPr="00246D4D">
        <w:rPr>
          <w:rFonts w:ascii="Times New Roman" w:eastAsia="Times New Roman" w:hAnsi="Times New Roman"/>
          <w:b/>
          <w:bCs/>
          <w:color w:val="000000"/>
          <w:sz w:val="28"/>
          <w:szCs w:val="28"/>
          <w:bdr w:val="none" w:sz="0" w:space="0" w:color="auto" w:frame="1"/>
        </w:rPr>
        <w:t>2019 года № 1084 «Об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счетов-фактур с применением системы управления рисками (пилотный проект)»</w:t>
      </w:r>
    </w:p>
    <w:p w14:paraId="620ADCC1" w14:textId="77777777" w:rsidR="0097608C" w:rsidRPr="00246D4D" w:rsidRDefault="006A5508" w:rsidP="006A5508">
      <w:pPr>
        <w:ind w:right="-2"/>
        <w:contextualSpacing/>
        <w:jc w:val="center"/>
        <w:rPr>
          <w:rFonts w:ascii="Times New Roman" w:eastAsia="Times New Roman" w:hAnsi="Times New Roman"/>
          <w:b/>
          <w:spacing w:val="2"/>
          <w:sz w:val="24"/>
          <w:lang w:eastAsia="ru-RU"/>
        </w:rPr>
      </w:pPr>
      <w:r w:rsidRPr="00246D4D">
        <w:rPr>
          <w:rFonts w:ascii="Times New Roman" w:eastAsia="Times New Roman" w:hAnsi="Times New Roman"/>
          <w:b/>
          <w:spacing w:val="2"/>
          <w:lang w:eastAsia="ru-RU"/>
        </w:rPr>
        <w:t xml:space="preserve"> </w:t>
      </w:r>
    </w:p>
    <w:tbl>
      <w:tblPr>
        <w:tblStyle w:val="a3"/>
        <w:tblW w:w="15339" w:type="dxa"/>
        <w:tblInd w:w="-176" w:type="dxa"/>
        <w:tblLayout w:type="fixed"/>
        <w:tblLook w:val="04A0" w:firstRow="1" w:lastRow="0" w:firstColumn="1" w:lastColumn="0" w:noHBand="0" w:noVBand="1"/>
      </w:tblPr>
      <w:tblGrid>
        <w:gridCol w:w="534"/>
        <w:gridCol w:w="1905"/>
        <w:gridCol w:w="4933"/>
        <w:gridCol w:w="4536"/>
        <w:gridCol w:w="3431"/>
      </w:tblGrid>
      <w:tr w:rsidR="00CA2F11" w:rsidRPr="00246D4D" w14:paraId="373D83CF" w14:textId="77777777" w:rsidTr="00F25E95">
        <w:tc>
          <w:tcPr>
            <w:tcW w:w="534" w:type="dxa"/>
          </w:tcPr>
          <w:p w14:paraId="55C3B46D" w14:textId="77777777" w:rsidR="0097608C" w:rsidRPr="00246D4D" w:rsidRDefault="0097608C" w:rsidP="00E5040F">
            <w:pPr>
              <w:jc w:val="center"/>
              <w:rPr>
                <w:rFonts w:ascii="Times New Roman" w:hAnsi="Times New Roman" w:cs="Times New Roman"/>
                <w:b/>
                <w:sz w:val="24"/>
              </w:rPr>
            </w:pPr>
            <w:r w:rsidRPr="00246D4D">
              <w:rPr>
                <w:rFonts w:ascii="Times New Roman" w:hAnsi="Times New Roman" w:cs="Times New Roman"/>
                <w:b/>
                <w:sz w:val="24"/>
              </w:rPr>
              <w:t>№ п/п</w:t>
            </w:r>
          </w:p>
        </w:tc>
        <w:tc>
          <w:tcPr>
            <w:tcW w:w="1905" w:type="dxa"/>
          </w:tcPr>
          <w:p w14:paraId="4FED8B0B" w14:textId="77777777" w:rsidR="0097608C" w:rsidRPr="00246D4D" w:rsidRDefault="0097608C" w:rsidP="00E5040F">
            <w:pPr>
              <w:jc w:val="center"/>
              <w:rPr>
                <w:rFonts w:ascii="Times New Roman" w:hAnsi="Times New Roman" w:cs="Times New Roman"/>
                <w:b/>
                <w:sz w:val="24"/>
              </w:rPr>
            </w:pPr>
            <w:r w:rsidRPr="00246D4D">
              <w:rPr>
                <w:rFonts w:ascii="Times New Roman" w:hAnsi="Times New Roman" w:cs="Times New Roman"/>
                <w:b/>
                <w:sz w:val="24"/>
              </w:rPr>
              <w:t>Структурный элемент</w:t>
            </w:r>
          </w:p>
        </w:tc>
        <w:tc>
          <w:tcPr>
            <w:tcW w:w="4933" w:type="dxa"/>
          </w:tcPr>
          <w:p w14:paraId="66FC0FD7" w14:textId="77777777" w:rsidR="0097608C" w:rsidRPr="00246D4D" w:rsidRDefault="0097608C" w:rsidP="00E5040F">
            <w:pPr>
              <w:jc w:val="center"/>
              <w:rPr>
                <w:rFonts w:ascii="Times New Roman" w:hAnsi="Times New Roman" w:cs="Times New Roman"/>
                <w:b/>
                <w:sz w:val="24"/>
              </w:rPr>
            </w:pPr>
            <w:r w:rsidRPr="00246D4D">
              <w:rPr>
                <w:rFonts w:ascii="Times New Roman" w:hAnsi="Times New Roman" w:cs="Times New Roman"/>
                <w:b/>
                <w:sz w:val="24"/>
              </w:rPr>
              <w:t>Действующая редакция</w:t>
            </w:r>
          </w:p>
        </w:tc>
        <w:tc>
          <w:tcPr>
            <w:tcW w:w="4536" w:type="dxa"/>
          </w:tcPr>
          <w:p w14:paraId="6EF8AC0E" w14:textId="77777777" w:rsidR="0097608C" w:rsidRPr="00246D4D" w:rsidRDefault="0097608C" w:rsidP="00E5040F">
            <w:pPr>
              <w:jc w:val="center"/>
              <w:rPr>
                <w:rFonts w:ascii="Times New Roman" w:hAnsi="Times New Roman" w:cs="Times New Roman"/>
                <w:b/>
                <w:sz w:val="24"/>
              </w:rPr>
            </w:pPr>
            <w:r w:rsidRPr="00246D4D">
              <w:rPr>
                <w:rFonts w:ascii="Times New Roman" w:hAnsi="Times New Roman" w:cs="Times New Roman"/>
                <w:b/>
                <w:sz w:val="24"/>
              </w:rPr>
              <w:t>Редакция вносимого изменения или дополнения</w:t>
            </w:r>
          </w:p>
        </w:tc>
        <w:tc>
          <w:tcPr>
            <w:tcW w:w="3431" w:type="dxa"/>
          </w:tcPr>
          <w:p w14:paraId="54ED8614" w14:textId="77777777" w:rsidR="00B75C49" w:rsidRPr="00246D4D" w:rsidRDefault="00B75C49" w:rsidP="00B75C49">
            <w:pPr>
              <w:jc w:val="center"/>
              <w:rPr>
                <w:rFonts w:ascii="Times New Roman" w:hAnsi="Times New Roman" w:cs="Times New Roman"/>
                <w:b/>
                <w:sz w:val="24"/>
              </w:rPr>
            </w:pPr>
            <w:r w:rsidRPr="00246D4D">
              <w:rPr>
                <w:rFonts w:ascii="Times New Roman" w:hAnsi="Times New Roman" w:cs="Times New Roman"/>
                <w:b/>
                <w:sz w:val="24"/>
              </w:rPr>
              <w:t>Обоснование</w:t>
            </w:r>
          </w:p>
        </w:tc>
      </w:tr>
      <w:tr w:rsidR="00CA2F11" w:rsidRPr="00246D4D" w14:paraId="1F833F60" w14:textId="77777777" w:rsidTr="00F25E95">
        <w:tc>
          <w:tcPr>
            <w:tcW w:w="534" w:type="dxa"/>
          </w:tcPr>
          <w:p w14:paraId="4DF66E2C" w14:textId="77777777" w:rsidR="0097608C" w:rsidRPr="00246D4D" w:rsidRDefault="0097608C" w:rsidP="00D77C24">
            <w:pPr>
              <w:jc w:val="center"/>
              <w:rPr>
                <w:rFonts w:ascii="Times New Roman" w:hAnsi="Times New Roman" w:cs="Times New Roman"/>
                <w:b/>
              </w:rPr>
            </w:pPr>
            <w:r w:rsidRPr="00246D4D">
              <w:rPr>
                <w:rFonts w:ascii="Times New Roman" w:hAnsi="Times New Roman" w:cs="Times New Roman"/>
                <w:b/>
              </w:rPr>
              <w:t>1</w:t>
            </w:r>
          </w:p>
        </w:tc>
        <w:tc>
          <w:tcPr>
            <w:tcW w:w="1905" w:type="dxa"/>
          </w:tcPr>
          <w:p w14:paraId="01ED5CE3" w14:textId="77777777" w:rsidR="0097608C" w:rsidRPr="00246D4D" w:rsidRDefault="0097608C" w:rsidP="00D77C24">
            <w:pPr>
              <w:jc w:val="center"/>
              <w:rPr>
                <w:rFonts w:ascii="Times New Roman" w:hAnsi="Times New Roman" w:cs="Times New Roman"/>
                <w:b/>
              </w:rPr>
            </w:pPr>
            <w:r w:rsidRPr="00246D4D">
              <w:rPr>
                <w:rFonts w:ascii="Times New Roman" w:hAnsi="Times New Roman" w:cs="Times New Roman"/>
                <w:b/>
              </w:rPr>
              <w:t>2</w:t>
            </w:r>
          </w:p>
        </w:tc>
        <w:tc>
          <w:tcPr>
            <w:tcW w:w="4933" w:type="dxa"/>
          </w:tcPr>
          <w:p w14:paraId="0A112E36" w14:textId="77777777" w:rsidR="0097608C" w:rsidRPr="00246D4D" w:rsidRDefault="0097608C" w:rsidP="00D77C24">
            <w:pPr>
              <w:jc w:val="center"/>
              <w:rPr>
                <w:rFonts w:ascii="Times New Roman" w:hAnsi="Times New Roman" w:cs="Times New Roman"/>
                <w:b/>
              </w:rPr>
            </w:pPr>
            <w:r w:rsidRPr="00246D4D">
              <w:rPr>
                <w:rFonts w:ascii="Times New Roman" w:hAnsi="Times New Roman" w:cs="Times New Roman"/>
                <w:b/>
              </w:rPr>
              <w:t>3</w:t>
            </w:r>
          </w:p>
        </w:tc>
        <w:tc>
          <w:tcPr>
            <w:tcW w:w="4536" w:type="dxa"/>
          </w:tcPr>
          <w:p w14:paraId="50267482" w14:textId="77777777" w:rsidR="0097608C" w:rsidRPr="00246D4D" w:rsidRDefault="0097608C" w:rsidP="00D77C24">
            <w:pPr>
              <w:jc w:val="center"/>
              <w:rPr>
                <w:rFonts w:ascii="Times New Roman" w:hAnsi="Times New Roman" w:cs="Times New Roman"/>
                <w:b/>
              </w:rPr>
            </w:pPr>
            <w:r w:rsidRPr="00246D4D">
              <w:rPr>
                <w:rFonts w:ascii="Times New Roman" w:hAnsi="Times New Roman" w:cs="Times New Roman"/>
                <w:b/>
              </w:rPr>
              <w:t>4</w:t>
            </w:r>
          </w:p>
        </w:tc>
        <w:tc>
          <w:tcPr>
            <w:tcW w:w="3431" w:type="dxa"/>
          </w:tcPr>
          <w:p w14:paraId="6E50741C" w14:textId="77777777" w:rsidR="0097608C" w:rsidRPr="00246D4D" w:rsidRDefault="0097608C" w:rsidP="00D77C24">
            <w:pPr>
              <w:jc w:val="center"/>
              <w:rPr>
                <w:rFonts w:ascii="Times New Roman" w:hAnsi="Times New Roman" w:cs="Times New Roman"/>
                <w:b/>
              </w:rPr>
            </w:pPr>
            <w:r w:rsidRPr="00246D4D">
              <w:rPr>
                <w:rFonts w:ascii="Times New Roman" w:hAnsi="Times New Roman" w:cs="Times New Roman"/>
                <w:b/>
              </w:rPr>
              <w:t>5</w:t>
            </w:r>
          </w:p>
        </w:tc>
      </w:tr>
      <w:tr w:rsidR="001B4F27" w:rsidRPr="00246D4D" w14:paraId="1DE741D1" w14:textId="77777777" w:rsidTr="00AB60DE">
        <w:tc>
          <w:tcPr>
            <w:tcW w:w="15339" w:type="dxa"/>
            <w:gridSpan w:val="5"/>
          </w:tcPr>
          <w:p w14:paraId="0922FA41" w14:textId="77777777" w:rsidR="001B4F27" w:rsidRPr="00246D4D" w:rsidRDefault="00E80145" w:rsidP="00E80145">
            <w:pPr>
              <w:autoSpaceDE w:val="0"/>
              <w:autoSpaceDN w:val="0"/>
              <w:adjustRightInd w:val="0"/>
              <w:jc w:val="center"/>
              <w:rPr>
                <w:rFonts w:ascii="TimesNewRomanPSMT" w:hAnsi="TimesNewRomanPSMT" w:cs="TimesNewRomanPSMT"/>
                <w:b/>
                <w:sz w:val="28"/>
                <w:szCs w:val="28"/>
              </w:rPr>
            </w:pPr>
            <w:r w:rsidRPr="00246D4D">
              <w:rPr>
                <w:rFonts w:ascii="TimesNewRomanPSMT" w:hAnsi="TimesNewRomanPSMT" w:cs="TimesNewRomanPSMT"/>
                <w:b/>
                <w:sz w:val="28"/>
                <w:szCs w:val="28"/>
              </w:rPr>
              <w:t>Правила и сроки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счетов-фактур с применением системы управления рисками (пилотный проект)</w:t>
            </w:r>
          </w:p>
        </w:tc>
      </w:tr>
      <w:tr w:rsidR="00B01CF4" w:rsidRPr="00246D4D" w14:paraId="48A3D958" w14:textId="77777777" w:rsidTr="00F25E95">
        <w:tc>
          <w:tcPr>
            <w:tcW w:w="534" w:type="dxa"/>
          </w:tcPr>
          <w:p w14:paraId="4BD4BD3A" w14:textId="77777777" w:rsidR="00B01CF4" w:rsidRPr="00246D4D" w:rsidRDefault="00DF4E4C" w:rsidP="00D77C24">
            <w:pPr>
              <w:jc w:val="center"/>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1</w:t>
            </w:r>
          </w:p>
        </w:tc>
        <w:tc>
          <w:tcPr>
            <w:tcW w:w="1905" w:type="dxa"/>
          </w:tcPr>
          <w:p w14:paraId="3B6C2CCB" w14:textId="77777777" w:rsidR="00B01CF4" w:rsidRPr="00246D4D" w:rsidRDefault="00B01CF4" w:rsidP="00E61B55">
            <w:pPr>
              <w:pStyle w:val="a6"/>
            </w:pPr>
            <w:r w:rsidRPr="00246D4D">
              <w:rPr>
                <w:rFonts w:ascii="Times New Roman" w:eastAsia="Times New Roman" w:hAnsi="Times New Roman" w:cs="Times New Roman"/>
                <w:color w:val="000000"/>
                <w:sz w:val="28"/>
                <w:szCs w:val="28"/>
                <w:bdr w:val="none" w:sz="0" w:space="0" w:color="auto" w:frame="1"/>
              </w:rPr>
              <w:t>Пункт 6</w:t>
            </w:r>
          </w:p>
        </w:tc>
        <w:tc>
          <w:tcPr>
            <w:tcW w:w="4933" w:type="dxa"/>
          </w:tcPr>
          <w:p w14:paraId="3FFF2F9A" w14:textId="77777777" w:rsidR="00B01CF4" w:rsidRPr="00246D4D" w:rsidRDefault="00B01CF4" w:rsidP="00B01CF4">
            <w:pPr>
              <w:ind w:firstLine="708"/>
              <w:jc w:val="both"/>
              <w:rPr>
                <w:rFonts w:ascii="Times New Roman" w:hAnsi="Times New Roman" w:cs="Times New Roman"/>
                <w:iCs/>
                <w:sz w:val="28"/>
                <w:szCs w:val="28"/>
              </w:rPr>
            </w:pPr>
            <w:r w:rsidRPr="00246D4D">
              <w:rPr>
                <w:rFonts w:ascii="Times New Roman" w:hAnsi="Times New Roman" w:cs="Times New Roman"/>
                <w:iCs/>
                <w:sz w:val="28"/>
                <w:szCs w:val="28"/>
              </w:rPr>
              <w:t>6. Органы государственных доходов вправе:</w:t>
            </w:r>
          </w:p>
          <w:p w14:paraId="3BD20834" w14:textId="77777777" w:rsidR="00B01CF4" w:rsidRPr="00246D4D" w:rsidRDefault="00B01CF4" w:rsidP="00B01CF4">
            <w:pPr>
              <w:ind w:firstLine="708"/>
              <w:jc w:val="both"/>
              <w:rPr>
                <w:rFonts w:ascii="Times New Roman" w:hAnsi="Times New Roman" w:cs="Times New Roman"/>
                <w:iCs/>
                <w:sz w:val="28"/>
                <w:szCs w:val="28"/>
              </w:rPr>
            </w:pPr>
            <w:r w:rsidRPr="00246D4D">
              <w:rPr>
                <w:rFonts w:ascii="Times New Roman" w:hAnsi="Times New Roman" w:cs="Times New Roman"/>
                <w:iCs/>
                <w:sz w:val="28"/>
                <w:szCs w:val="28"/>
              </w:rPr>
              <w:t>1) проводить камеральный контроль до истечения срока представления налоговой отчетности;</w:t>
            </w:r>
          </w:p>
          <w:p w14:paraId="039183E4" w14:textId="77777777" w:rsidR="00B01CF4" w:rsidRPr="00246D4D" w:rsidRDefault="00B01CF4" w:rsidP="00B01CF4">
            <w:pPr>
              <w:ind w:firstLine="708"/>
              <w:jc w:val="both"/>
              <w:rPr>
                <w:rFonts w:ascii="Times New Roman" w:hAnsi="Times New Roman" w:cs="Times New Roman"/>
                <w:iCs/>
                <w:sz w:val="28"/>
                <w:szCs w:val="28"/>
              </w:rPr>
            </w:pPr>
            <w:r w:rsidRPr="00246D4D">
              <w:rPr>
                <w:rFonts w:ascii="Times New Roman" w:hAnsi="Times New Roman" w:cs="Times New Roman"/>
                <w:iCs/>
                <w:sz w:val="28"/>
                <w:szCs w:val="28"/>
              </w:rPr>
              <w:t>2) требовать в ходе реализации пилотного проекта от налогоплательщика, который отнесен к высокой степени риска предоставления документов, подтверждающих факт осуществления ф</w:t>
            </w:r>
            <w:r w:rsidR="0025557B" w:rsidRPr="00246D4D">
              <w:rPr>
                <w:rFonts w:ascii="Times New Roman" w:hAnsi="Times New Roman" w:cs="Times New Roman"/>
                <w:iCs/>
                <w:sz w:val="28"/>
                <w:szCs w:val="28"/>
              </w:rPr>
              <w:t>инансово-хозяйственной операции.</w:t>
            </w:r>
          </w:p>
          <w:p w14:paraId="007D82DF" w14:textId="77777777" w:rsidR="0025557B" w:rsidRPr="00246D4D" w:rsidRDefault="0025557B" w:rsidP="00B01CF4">
            <w:pPr>
              <w:ind w:firstLine="708"/>
              <w:jc w:val="both"/>
              <w:rPr>
                <w:rFonts w:ascii="Times New Roman" w:hAnsi="Times New Roman" w:cs="Times New Roman"/>
                <w:b/>
                <w:iCs/>
                <w:sz w:val="28"/>
                <w:szCs w:val="28"/>
              </w:rPr>
            </w:pPr>
            <w:r w:rsidRPr="00246D4D">
              <w:rPr>
                <w:rFonts w:ascii="Times New Roman" w:hAnsi="Times New Roman" w:cs="Times New Roman"/>
                <w:b/>
                <w:iCs/>
                <w:sz w:val="28"/>
                <w:szCs w:val="28"/>
              </w:rPr>
              <w:t xml:space="preserve">3) отсутствует </w:t>
            </w:r>
          </w:p>
          <w:p w14:paraId="6A124B99" w14:textId="77777777" w:rsidR="00B01CF4" w:rsidRPr="00246D4D" w:rsidRDefault="00B01CF4" w:rsidP="00424F2B">
            <w:pPr>
              <w:jc w:val="both"/>
              <w:rPr>
                <w:rFonts w:ascii="Times New Roman" w:eastAsia="Times New Roman" w:hAnsi="Times New Roman" w:cs="Times New Roman"/>
                <w:bCs/>
                <w:color w:val="000000"/>
                <w:sz w:val="28"/>
                <w:szCs w:val="28"/>
                <w:bdr w:val="none" w:sz="0" w:space="0" w:color="auto" w:frame="1"/>
              </w:rPr>
            </w:pPr>
          </w:p>
        </w:tc>
        <w:tc>
          <w:tcPr>
            <w:tcW w:w="4536" w:type="dxa"/>
          </w:tcPr>
          <w:p w14:paraId="5AEB1B53" w14:textId="77777777" w:rsidR="00B01CF4" w:rsidRPr="00246D4D" w:rsidRDefault="00B01CF4" w:rsidP="00B01CF4">
            <w:pPr>
              <w:ind w:firstLine="708"/>
              <w:jc w:val="both"/>
              <w:rPr>
                <w:rFonts w:ascii="Times New Roman" w:hAnsi="Times New Roman" w:cs="Times New Roman"/>
                <w:iCs/>
                <w:sz w:val="28"/>
                <w:szCs w:val="28"/>
              </w:rPr>
            </w:pPr>
            <w:r w:rsidRPr="00246D4D">
              <w:rPr>
                <w:rFonts w:ascii="Times New Roman" w:hAnsi="Times New Roman" w:cs="Times New Roman"/>
                <w:iCs/>
                <w:sz w:val="28"/>
                <w:szCs w:val="28"/>
              </w:rPr>
              <w:t>6. Органы государственных доходов вправе:</w:t>
            </w:r>
          </w:p>
          <w:p w14:paraId="0884364B" w14:textId="77777777" w:rsidR="00B01CF4" w:rsidRPr="00246D4D" w:rsidRDefault="00B01CF4" w:rsidP="00B01CF4">
            <w:pPr>
              <w:pStyle w:val="a4"/>
              <w:numPr>
                <w:ilvl w:val="0"/>
                <w:numId w:val="14"/>
              </w:numPr>
              <w:tabs>
                <w:tab w:val="left" w:pos="993"/>
              </w:tabs>
              <w:ind w:left="0" w:firstLine="709"/>
              <w:jc w:val="both"/>
              <w:rPr>
                <w:rFonts w:ascii="Times New Roman" w:eastAsia="Times New Roman" w:hAnsi="Times New Roman" w:cs="Times New Roman"/>
                <w:sz w:val="28"/>
              </w:rPr>
            </w:pPr>
            <w:r w:rsidRPr="00246D4D">
              <w:rPr>
                <w:rFonts w:ascii="Times New Roman" w:eastAsia="Times New Roman" w:hAnsi="Times New Roman" w:cs="Times New Roman"/>
                <w:sz w:val="28"/>
              </w:rPr>
              <w:t xml:space="preserve"> проводить камеральный контроль до истечения срока представления налоговой отчетности;</w:t>
            </w:r>
            <w:r w:rsidRPr="00246D4D">
              <w:rPr>
                <w:rFonts w:ascii="Times New Roman" w:hAnsi="Times New Roman" w:cs="Times New Roman"/>
                <w:iCs/>
                <w:sz w:val="28"/>
                <w:szCs w:val="28"/>
              </w:rPr>
              <w:t xml:space="preserve"> </w:t>
            </w:r>
          </w:p>
          <w:p w14:paraId="53238761" w14:textId="77777777" w:rsidR="00B01CF4" w:rsidRPr="00246D4D" w:rsidRDefault="00B01CF4" w:rsidP="00B01CF4">
            <w:pPr>
              <w:pStyle w:val="a4"/>
              <w:numPr>
                <w:ilvl w:val="0"/>
                <w:numId w:val="14"/>
              </w:numPr>
              <w:tabs>
                <w:tab w:val="left" w:pos="993"/>
              </w:tabs>
              <w:ind w:left="0" w:firstLine="709"/>
              <w:jc w:val="both"/>
              <w:rPr>
                <w:rFonts w:ascii="Times New Roman" w:eastAsia="Times New Roman" w:hAnsi="Times New Roman" w:cs="Times New Roman"/>
                <w:sz w:val="28"/>
              </w:rPr>
            </w:pPr>
            <w:r w:rsidRPr="00246D4D">
              <w:rPr>
                <w:rFonts w:ascii="Times New Roman" w:hAnsi="Times New Roman" w:cs="Times New Roman"/>
                <w:iCs/>
                <w:sz w:val="28"/>
                <w:szCs w:val="28"/>
              </w:rPr>
              <w:t>требовать</w:t>
            </w:r>
            <w:r w:rsidRPr="00246D4D">
              <w:rPr>
                <w:rFonts w:ascii="Times New Roman" w:eastAsia="Times New Roman" w:hAnsi="Times New Roman" w:cs="Times New Roman"/>
                <w:spacing w:val="2"/>
                <w:sz w:val="28"/>
              </w:rPr>
              <w:t xml:space="preserve"> в ходе реализации пилотного проекта от</w:t>
            </w:r>
            <w:r w:rsidRPr="00246D4D">
              <w:rPr>
                <w:rFonts w:ascii="Times New Roman" w:eastAsia="Times New Roman" w:hAnsi="Times New Roman" w:cs="Times New Roman"/>
                <w:sz w:val="28"/>
              </w:rPr>
              <w:t xml:space="preserve"> налогоплательщика, который </w:t>
            </w:r>
            <w:r w:rsidRPr="00246D4D">
              <w:rPr>
                <w:rFonts w:ascii="Times New Roman" w:eastAsia="Times New Roman" w:hAnsi="Times New Roman" w:cs="Times New Roman"/>
                <w:color w:val="000000"/>
                <w:sz w:val="28"/>
                <w:szCs w:val="28"/>
              </w:rPr>
              <w:t>отнесен к высокой степени риска</w:t>
            </w:r>
            <w:r w:rsidRPr="00246D4D">
              <w:rPr>
                <w:rFonts w:ascii="Times New Roman" w:eastAsia="Times New Roman" w:hAnsi="Times New Roman" w:cs="Times New Roman"/>
                <w:sz w:val="28"/>
              </w:rPr>
              <w:t xml:space="preserve"> предоставления документов, подтверждающих факт осуществления финансово-хозяйственной операции</w:t>
            </w:r>
            <w:r w:rsidR="0025557B" w:rsidRPr="00246D4D">
              <w:rPr>
                <w:rFonts w:ascii="Times New Roman" w:eastAsia="Times New Roman" w:hAnsi="Times New Roman" w:cs="Times New Roman"/>
                <w:b/>
                <w:sz w:val="28"/>
              </w:rPr>
              <w:t>;</w:t>
            </w:r>
          </w:p>
          <w:p w14:paraId="150D6D8E" w14:textId="77777777" w:rsidR="00B01CF4" w:rsidRPr="00246D4D" w:rsidRDefault="00FD1AAD" w:rsidP="00B01CF4">
            <w:pPr>
              <w:pStyle w:val="a6"/>
              <w:jc w:val="both"/>
              <w:rPr>
                <w:rFonts w:ascii="Times New Roman" w:eastAsia="Times New Roman" w:hAnsi="Times New Roman" w:cs="Times New Roman"/>
                <w:b/>
                <w:color w:val="000000"/>
                <w:sz w:val="28"/>
                <w:szCs w:val="28"/>
                <w:bdr w:val="none" w:sz="0" w:space="0" w:color="auto" w:frame="1"/>
              </w:rPr>
            </w:pPr>
            <w:r w:rsidRPr="00246D4D">
              <w:rPr>
                <w:rFonts w:ascii="Times New Roman" w:eastAsia="Times New Roman" w:hAnsi="Times New Roman"/>
                <w:bCs/>
                <w:color w:val="000000"/>
                <w:sz w:val="28"/>
                <w:szCs w:val="28"/>
                <w:bdr w:val="none" w:sz="0" w:space="0" w:color="auto" w:frame="1"/>
              </w:rPr>
              <w:t xml:space="preserve">          </w:t>
            </w:r>
            <w:r w:rsidR="00B01CF4" w:rsidRPr="00246D4D">
              <w:rPr>
                <w:rFonts w:ascii="Times New Roman" w:eastAsia="Times New Roman" w:hAnsi="Times New Roman"/>
                <w:b/>
                <w:bCs/>
                <w:color w:val="000000"/>
                <w:sz w:val="28"/>
                <w:szCs w:val="28"/>
                <w:bdr w:val="none" w:sz="0" w:space="0" w:color="auto" w:frame="1"/>
              </w:rPr>
              <w:t xml:space="preserve">3) размещать на </w:t>
            </w:r>
            <w:r w:rsidR="00B01CF4" w:rsidRPr="00246D4D">
              <w:rPr>
                <w:rFonts w:ascii="Times New Roman" w:eastAsia="Times New Roman" w:hAnsi="Times New Roman"/>
                <w:b/>
                <w:bCs/>
                <w:color w:val="000000"/>
                <w:sz w:val="28"/>
                <w:szCs w:val="28"/>
                <w:bdr w:val="none" w:sz="0" w:space="0" w:color="auto" w:frame="1"/>
              </w:rPr>
              <w:lastRenderedPageBreak/>
              <w:t>официальном сайте Комитета http://kgd.gov.kz не чаще одного раза в месяц перечень налогоплательщиков, по которым в рамкам пилотного проекта произведено ограничение выписки ЭСФ.»</w:t>
            </w:r>
          </w:p>
        </w:tc>
        <w:tc>
          <w:tcPr>
            <w:tcW w:w="3431" w:type="dxa"/>
          </w:tcPr>
          <w:p w14:paraId="3F30A7D8" w14:textId="77777777" w:rsidR="00B01CF4" w:rsidRPr="00246D4D" w:rsidRDefault="00720125" w:rsidP="00720125">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lastRenderedPageBreak/>
              <w:t xml:space="preserve">По предложению АНК в целях информирования бизнес-сообщества и развития принципа должной осмотрительности.  </w:t>
            </w:r>
          </w:p>
        </w:tc>
      </w:tr>
      <w:tr w:rsidR="00E5040F" w:rsidRPr="00246D4D" w14:paraId="06C7966C" w14:textId="77777777" w:rsidTr="00F25E95">
        <w:tc>
          <w:tcPr>
            <w:tcW w:w="534" w:type="dxa"/>
          </w:tcPr>
          <w:p w14:paraId="50D5D092" w14:textId="77777777" w:rsidR="00E5040F" w:rsidRPr="00246D4D" w:rsidRDefault="00DF4E4C" w:rsidP="00D77C24">
            <w:pPr>
              <w:jc w:val="center"/>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2</w:t>
            </w:r>
          </w:p>
        </w:tc>
        <w:tc>
          <w:tcPr>
            <w:tcW w:w="1905" w:type="dxa"/>
          </w:tcPr>
          <w:p w14:paraId="35AF5572" w14:textId="77777777" w:rsidR="00E5040F" w:rsidRPr="00246D4D" w:rsidRDefault="00DF2CCF" w:rsidP="00E61B55">
            <w:pPr>
              <w:pStyle w:val="a6"/>
              <w:rPr>
                <w:rFonts w:ascii="Times New Roman" w:hAnsi="Times New Roman" w:cs="Times New Roman"/>
                <w:lang w:eastAsia="ru-RU"/>
              </w:rPr>
            </w:pPr>
            <w:hyperlink r:id="rId7" w:anchor="z2" w:history="1">
              <w:r w:rsidR="00E5040F" w:rsidRPr="00246D4D">
                <w:rPr>
                  <w:rFonts w:ascii="Times New Roman" w:eastAsia="Times New Roman" w:hAnsi="Times New Roman" w:cs="Times New Roman"/>
                  <w:color w:val="000000"/>
                  <w:sz w:val="28"/>
                  <w:szCs w:val="28"/>
                  <w:bdr w:val="none" w:sz="0" w:space="0" w:color="auto" w:frame="1"/>
                </w:rPr>
                <w:t>пункт 8</w:t>
              </w:r>
            </w:hyperlink>
          </w:p>
        </w:tc>
        <w:tc>
          <w:tcPr>
            <w:tcW w:w="4933" w:type="dxa"/>
          </w:tcPr>
          <w:p w14:paraId="226DB92D" w14:textId="77777777" w:rsidR="00E5040F" w:rsidRPr="00246D4D" w:rsidRDefault="00F63C52" w:rsidP="00424F2B">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в пункт 8 внесено изменение на государственном языке, текст на русском языке не изменяется;</w:t>
            </w:r>
          </w:p>
        </w:tc>
        <w:tc>
          <w:tcPr>
            <w:tcW w:w="4536" w:type="dxa"/>
          </w:tcPr>
          <w:p w14:paraId="6665C71E" w14:textId="77777777" w:rsidR="00E5040F" w:rsidRPr="00246D4D" w:rsidRDefault="00E5040F" w:rsidP="00223AC3">
            <w:pPr>
              <w:pStyle w:val="a6"/>
              <w:jc w:val="both"/>
              <w:rPr>
                <w:rFonts w:ascii="Times New Roman" w:eastAsia="Times New Roman" w:hAnsi="Times New Roman" w:cs="Times New Roman"/>
                <w:color w:val="000000"/>
                <w:sz w:val="28"/>
                <w:szCs w:val="28"/>
                <w:bdr w:val="none" w:sz="0" w:space="0" w:color="auto" w:frame="1"/>
              </w:rPr>
            </w:pPr>
          </w:p>
        </w:tc>
        <w:tc>
          <w:tcPr>
            <w:tcW w:w="3431" w:type="dxa"/>
          </w:tcPr>
          <w:p w14:paraId="6994A695" w14:textId="77777777" w:rsidR="00E5040F" w:rsidRPr="00246D4D" w:rsidRDefault="00085660" w:rsidP="00FB2B90">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П</w:t>
            </w:r>
            <w:r w:rsidR="00F25E95" w:rsidRPr="00246D4D">
              <w:rPr>
                <w:rFonts w:ascii="Times New Roman" w:eastAsia="Times New Roman" w:hAnsi="Times New Roman" w:cs="Times New Roman"/>
                <w:color w:val="000000"/>
                <w:sz w:val="28"/>
                <w:szCs w:val="28"/>
                <w:bdr w:val="none" w:sz="0" w:space="0" w:color="auto" w:frame="1"/>
              </w:rPr>
              <w:t xml:space="preserve">риведение </w:t>
            </w:r>
            <w:r w:rsidR="00082CBB" w:rsidRPr="00246D4D">
              <w:rPr>
                <w:rFonts w:ascii="Times New Roman" w:eastAsia="Times New Roman" w:hAnsi="Times New Roman" w:cs="Times New Roman"/>
                <w:color w:val="000000"/>
                <w:sz w:val="28"/>
                <w:szCs w:val="28"/>
                <w:bdr w:val="none" w:sz="0" w:space="0" w:color="auto" w:frame="1"/>
              </w:rPr>
              <w:t xml:space="preserve">в </w:t>
            </w:r>
            <w:r w:rsidR="00F25E95" w:rsidRPr="00246D4D">
              <w:rPr>
                <w:rFonts w:ascii="Times New Roman" w:eastAsia="Times New Roman" w:hAnsi="Times New Roman" w:cs="Times New Roman"/>
                <w:color w:val="000000"/>
                <w:sz w:val="28"/>
                <w:szCs w:val="28"/>
                <w:bdr w:val="none" w:sz="0" w:space="0" w:color="auto" w:frame="1"/>
              </w:rPr>
              <w:t>соответствие</w:t>
            </w:r>
            <w:r w:rsidRPr="00246D4D">
              <w:rPr>
                <w:rFonts w:ascii="Times New Roman" w:eastAsia="Times New Roman" w:hAnsi="Times New Roman" w:cs="Times New Roman"/>
                <w:color w:val="000000"/>
                <w:sz w:val="28"/>
                <w:szCs w:val="28"/>
                <w:bdr w:val="none" w:sz="0" w:space="0" w:color="auto" w:frame="1"/>
              </w:rPr>
              <w:t xml:space="preserve"> с </w:t>
            </w:r>
            <w:r w:rsidR="00082CBB" w:rsidRPr="00246D4D">
              <w:rPr>
                <w:rFonts w:ascii="Times New Roman" w:eastAsia="Times New Roman" w:hAnsi="Times New Roman" w:cs="Times New Roman"/>
                <w:color w:val="000000"/>
                <w:sz w:val="28"/>
                <w:szCs w:val="28"/>
                <w:bdr w:val="none" w:sz="0" w:space="0" w:color="auto" w:frame="1"/>
              </w:rPr>
              <w:t xml:space="preserve">текстом на </w:t>
            </w:r>
            <w:r w:rsidRPr="00246D4D">
              <w:rPr>
                <w:rFonts w:ascii="Times New Roman" w:eastAsia="Times New Roman" w:hAnsi="Times New Roman" w:cs="Times New Roman"/>
                <w:color w:val="000000"/>
                <w:sz w:val="28"/>
                <w:szCs w:val="28"/>
                <w:bdr w:val="none" w:sz="0" w:space="0" w:color="auto" w:frame="1"/>
              </w:rPr>
              <w:t>русск</w:t>
            </w:r>
            <w:r w:rsidR="00082CBB" w:rsidRPr="00246D4D">
              <w:rPr>
                <w:rFonts w:ascii="Times New Roman" w:eastAsia="Times New Roman" w:hAnsi="Times New Roman" w:cs="Times New Roman"/>
                <w:color w:val="000000"/>
                <w:sz w:val="28"/>
                <w:szCs w:val="28"/>
                <w:bdr w:val="none" w:sz="0" w:space="0" w:color="auto" w:frame="1"/>
              </w:rPr>
              <w:t>о</w:t>
            </w:r>
            <w:r w:rsidRPr="00246D4D">
              <w:rPr>
                <w:rFonts w:ascii="Times New Roman" w:eastAsia="Times New Roman" w:hAnsi="Times New Roman" w:cs="Times New Roman"/>
                <w:color w:val="000000"/>
                <w:sz w:val="28"/>
                <w:szCs w:val="28"/>
                <w:bdr w:val="none" w:sz="0" w:space="0" w:color="auto" w:frame="1"/>
              </w:rPr>
              <w:t>м язык</w:t>
            </w:r>
            <w:r w:rsidR="00F25E95" w:rsidRPr="00246D4D">
              <w:rPr>
                <w:rFonts w:ascii="Times New Roman" w:eastAsia="Times New Roman" w:hAnsi="Times New Roman" w:cs="Times New Roman"/>
                <w:color w:val="000000"/>
                <w:sz w:val="28"/>
                <w:szCs w:val="28"/>
                <w:bdr w:val="none" w:sz="0" w:space="0" w:color="auto" w:frame="1"/>
              </w:rPr>
              <w:t>е</w:t>
            </w:r>
          </w:p>
        </w:tc>
      </w:tr>
      <w:tr w:rsidR="004A3194" w:rsidRPr="00246D4D" w14:paraId="33610634" w14:textId="77777777" w:rsidTr="006A410B">
        <w:tc>
          <w:tcPr>
            <w:tcW w:w="534" w:type="dxa"/>
          </w:tcPr>
          <w:p w14:paraId="31E25D1D" w14:textId="77777777" w:rsidR="004A3194" w:rsidRPr="00246D4D" w:rsidRDefault="0054220F" w:rsidP="006A410B">
            <w:pPr>
              <w:jc w:val="center"/>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3</w:t>
            </w:r>
          </w:p>
        </w:tc>
        <w:tc>
          <w:tcPr>
            <w:tcW w:w="1905" w:type="dxa"/>
          </w:tcPr>
          <w:p w14:paraId="541AFDFF" w14:textId="77777777" w:rsidR="004A3194" w:rsidRPr="00246D4D" w:rsidRDefault="00F76B44" w:rsidP="007E206F">
            <w:pPr>
              <w:pStyle w:val="a6"/>
              <w:rPr>
                <w:rFonts w:ascii="Times New Roman" w:eastAsia="Times New Roman" w:hAnsi="Times New Roman" w:cs="Times New Roman"/>
                <w:bCs/>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пункт 11</w:t>
            </w:r>
          </w:p>
        </w:tc>
        <w:tc>
          <w:tcPr>
            <w:tcW w:w="4933" w:type="dxa"/>
          </w:tcPr>
          <w:p w14:paraId="2A8EFF06" w14:textId="77777777" w:rsidR="00F76B44" w:rsidRPr="00246D4D" w:rsidRDefault="00F76B44" w:rsidP="00F76B44">
            <w:pPr>
              <w:ind w:firstLine="709"/>
              <w:jc w:val="both"/>
              <w:rPr>
                <w:rFonts w:ascii="Times New Roman" w:eastAsia="Times New Roman" w:hAnsi="Times New Roman" w:cs="Times New Roman"/>
                <w:sz w:val="28"/>
                <w:szCs w:val="28"/>
              </w:rPr>
            </w:pPr>
            <w:r w:rsidRPr="00246D4D">
              <w:rPr>
                <w:rFonts w:ascii="Times New Roman" w:eastAsia="Times New Roman" w:hAnsi="Times New Roman" w:cs="Times New Roman"/>
                <w:sz w:val="28"/>
                <w:szCs w:val="28"/>
              </w:rPr>
              <w:t>11. Комитет в течение одного рабочего дня после присвоения налогоплательщику высокой степени риска направляет:</w:t>
            </w:r>
          </w:p>
          <w:p w14:paraId="4ADA456C" w14:textId="77777777" w:rsidR="00F76B44" w:rsidRPr="00246D4D" w:rsidRDefault="00F76B44" w:rsidP="00F76B44">
            <w:pPr>
              <w:ind w:firstLine="709"/>
              <w:jc w:val="both"/>
              <w:rPr>
                <w:rFonts w:ascii="Times New Roman" w:eastAsia="Times New Roman" w:hAnsi="Times New Roman" w:cs="Times New Roman"/>
                <w:sz w:val="28"/>
                <w:szCs w:val="28"/>
              </w:rPr>
            </w:pPr>
            <w:r w:rsidRPr="00246D4D">
              <w:rPr>
                <w:rFonts w:ascii="Times New Roman" w:eastAsia="Times New Roman" w:hAnsi="Times New Roman" w:cs="Times New Roman"/>
                <w:sz w:val="28"/>
                <w:szCs w:val="28"/>
              </w:rPr>
              <w:t xml:space="preserve">1) уведомление в </w:t>
            </w:r>
            <w:proofErr w:type="spellStart"/>
            <w:r w:rsidRPr="00246D4D">
              <w:rPr>
                <w:rFonts w:ascii="Times New Roman" w:eastAsia="Times New Roman" w:hAnsi="Times New Roman" w:cs="Times New Roman"/>
                <w:sz w:val="28"/>
                <w:szCs w:val="28"/>
              </w:rPr>
              <w:t>web</w:t>
            </w:r>
            <w:proofErr w:type="spellEnd"/>
            <w:r w:rsidRPr="00246D4D">
              <w:rPr>
                <w:rFonts w:ascii="Times New Roman" w:eastAsia="Times New Roman" w:hAnsi="Times New Roman" w:cs="Times New Roman"/>
                <w:sz w:val="28"/>
                <w:szCs w:val="28"/>
              </w:rPr>
              <w:t>-приложение "Кабинет налогоплательщика" с указанием выписанных ЭСФ;</w:t>
            </w:r>
          </w:p>
          <w:p w14:paraId="32A61B93" w14:textId="77777777" w:rsidR="00F76B44" w:rsidRPr="00246D4D" w:rsidRDefault="00F76B44" w:rsidP="00FD1AAD">
            <w:pPr>
              <w:ind w:firstLine="709"/>
              <w:jc w:val="both"/>
              <w:rPr>
                <w:rFonts w:ascii="Times New Roman" w:eastAsia="Times New Roman" w:hAnsi="Times New Roman" w:cs="Times New Roman"/>
                <w:sz w:val="28"/>
                <w:szCs w:val="28"/>
              </w:rPr>
            </w:pPr>
            <w:r w:rsidRPr="00246D4D">
              <w:rPr>
                <w:rFonts w:ascii="Times New Roman" w:eastAsia="Times New Roman" w:hAnsi="Times New Roman" w:cs="Times New Roman"/>
                <w:sz w:val="28"/>
                <w:szCs w:val="28"/>
              </w:rPr>
              <w:t xml:space="preserve">2) оповещение в ИС ЭСФ о том, что налогоплательщик отнесен к высокой степени риска и, что в случае не исполнения уведомления, направленного в </w:t>
            </w:r>
            <w:proofErr w:type="spellStart"/>
            <w:r w:rsidRPr="00246D4D">
              <w:rPr>
                <w:rFonts w:ascii="Times New Roman" w:eastAsia="Times New Roman" w:hAnsi="Times New Roman" w:cs="Times New Roman"/>
                <w:sz w:val="28"/>
                <w:szCs w:val="28"/>
              </w:rPr>
              <w:t>web</w:t>
            </w:r>
            <w:proofErr w:type="spellEnd"/>
            <w:r w:rsidRPr="00246D4D">
              <w:rPr>
                <w:rFonts w:ascii="Times New Roman" w:eastAsia="Times New Roman" w:hAnsi="Times New Roman" w:cs="Times New Roman"/>
                <w:sz w:val="28"/>
                <w:szCs w:val="28"/>
              </w:rPr>
              <w:t>-приложение "Кабинет налогоплательщика", в отношении налогоплательщика будет применено ограничение доступа к ИС ЭСФ;</w:t>
            </w:r>
          </w:p>
          <w:p w14:paraId="297C99FD" w14:textId="77777777" w:rsidR="00FB2B90" w:rsidRPr="00246D4D" w:rsidRDefault="00F76B44" w:rsidP="00F76B44">
            <w:pPr>
              <w:ind w:firstLine="709"/>
              <w:jc w:val="both"/>
              <w:rPr>
                <w:rFonts w:ascii="Times New Roman" w:hAnsi="Times New Roman" w:cs="Times New Roman"/>
                <w:lang w:eastAsia="ru-RU"/>
              </w:rPr>
            </w:pPr>
            <w:r w:rsidRPr="00246D4D">
              <w:rPr>
                <w:rFonts w:ascii="Times New Roman" w:eastAsia="Times New Roman" w:hAnsi="Times New Roman" w:cs="Times New Roman"/>
                <w:sz w:val="28"/>
                <w:szCs w:val="28"/>
              </w:rPr>
              <w:t xml:space="preserve">3) извещение в </w:t>
            </w:r>
            <w:proofErr w:type="spellStart"/>
            <w:r w:rsidRPr="00246D4D">
              <w:rPr>
                <w:rFonts w:ascii="Times New Roman" w:eastAsia="Times New Roman" w:hAnsi="Times New Roman" w:cs="Times New Roman"/>
                <w:sz w:val="28"/>
                <w:szCs w:val="28"/>
              </w:rPr>
              <w:t>web</w:t>
            </w:r>
            <w:proofErr w:type="spellEnd"/>
            <w:r w:rsidRPr="00246D4D">
              <w:rPr>
                <w:rFonts w:ascii="Times New Roman" w:eastAsia="Times New Roman" w:hAnsi="Times New Roman" w:cs="Times New Roman"/>
                <w:sz w:val="28"/>
                <w:szCs w:val="28"/>
              </w:rPr>
              <w:t xml:space="preserve">-приложение "Кабинет налогоплательщика" </w:t>
            </w:r>
            <w:r w:rsidRPr="00246D4D">
              <w:rPr>
                <w:rFonts w:ascii="Times New Roman" w:eastAsia="Times New Roman" w:hAnsi="Times New Roman" w:cs="Times New Roman"/>
                <w:sz w:val="28"/>
                <w:szCs w:val="28"/>
              </w:rPr>
              <w:lastRenderedPageBreak/>
              <w:t>налогоплательщика, который согласно данным ЭСФ является получателем товаров, работ, услуг.</w:t>
            </w:r>
          </w:p>
        </w:tc>
        <w:tc>
          <w:tcPr>
            <w:tcW w:w="4536" w:type="dxa"/>
          </w:tcPr>
          <w:p w14:paraId="2C2C529B" w14:textId="77777777" w:rsidR="00F76B44" w:rsidRPr="00246D4D" w:rsidRDefault="00F76B44" w:rsidP="00F76B44">
            <w:pPr>
              <w:ind w:firstLine="709"/>
              <w:jc w:val="both"/>
              <w:rPr>
                <w:rFonts w:ascii="Times New Roman" w:eastAsia="Times New Roman" w:hAnsi="Times New Roman" w:cs="Times New Roman"/>
                <w:sz w:val="28"/>
                <w:szCs w:val="28"/>
              </w:rPr>
            </w:pPr>
            <w:r w:rsidRPr="00246D4D">
              <w:rPr>
                <w:rFonts w:ascii="Times New Roman" w:eastAsia="Times New Roman" w:hAnsi="Times New Roman"/>
                <w:bCs/>
                <w:color w:val="000000"/>
                <w:sz w:val="28"/>
                <w:szCs w:val="28"/>
                <w:bdr w:val="none" w:sz="0" w:space="0" w:color="auto" w:frame="1"/>
              </w:rPr>
              <w:lastRenderedPageBreak/>
              <w:t xml:space="preserve">11. </w:t>
            </w:r>
            <w:r w:rsidRPr="00246D4D">
              <w:rPr>
                <w:rFonts w:ascii="Times New Roman" w:eastAsia="Times New Roman" w:hAnsi="Times New Roman" w:cs="Times New Roman"/>
                <w:sz w:val="28"/>
                <w:szCs w:val="28"/>
              </w:rPr>
              <w:t>Комитет в течение одного рабочего дня после присвоения налогоплательщику высокой степени риска направляет:</w:t>
            </w:r>
          </w:p>
          <w:p w14:paraId="3B69DA07" w14:textId="77777777" w:rsidR="00F76B44" w:rsidRPr="00246D4D" w:rsidRDefault="00F76B44" w:rsidP="00F76B44">
            <w:pPr>
              <w:pStyle w:val="a4"/>
              <w:tabs>
                <w:tab w:val="left" w:pos="1134"/>
              </w:tabs>
              <w:ind w:left="0" w:firstLine="709"/>
              <w:jc w:val="both"/>
              <w:rPr>
                <w:rFonts w:ascii="Times New Roman" w:eastAsia="Times New Roman" w:hAnsi="Times New Roman" w:cs="Times New Roman"/>
                <w:b/>
                <w:sz w:val="28"/>
                <w:szCs w:val="28"/>
              </w:rPr>
            </w:pPr>
            <w:r w:rsidRPr="00246D4D">
              <w:rPr>
                <w:rFonts w:ascii="Times New Roman" w:eastAsia="Times New Roman" w:hAnsi="Times New Roman" w:cs="Times New Roman"/>
                <w:sz w:val="28"/>
                <w:szCs w:val="28"/>
              </w:rPr>
              <w:t xml:space="preserve">1) уведомление </w:t>
            </w:r>
            <w:r w:rsidRPr="00246D4D">
              <w:rPr>
                <w:rFonts w:ascii="Times New Roman" w:eastAsia="Times New Roman" w:hAnsi="Times New Roman" w:cs="Times New Roman"/>
                <w:b/>
                <w:sz w:val="28"/>
                <w:szCs w:val="28"/>
              </w:rPr>
              <w:t>в адрес налогоплательщика</w:t>
            </w:r>
            <w:r w:rsidRPr="00246D4D">
              <w:rPr>
                <w:rFonts w:ascii="Times New Roman" w:eastAsia="Times New Roman" w:hAnsi="Times New Roman" w:cs="Times New Roman"/>
                <w:sz w:val="28"/>
                <w:szCs w:val="28"/>
              </w:rPr>
              <w:t xml:space="preserve"> с указанием выписанных ЭСФ</w:t>
            </w:r>
            <w:r w:rsidRPr="00246D4D">
              <w:rPr>
                <w:rFonts w:ascii="Times New Roman" w:eastAsia="Times New Roman" w:hAnsi="Times New Roman" w:cs="Times New Roman"/>
                <w:color w:val="000000"/>
                <w:sz w:val="28"/>
                <w:szCs w:val="28"/>
                <w:bdr w:val="none" w:sz="0" w:space="0" w:color="auto" w:frame="1"/>
              </w:rPr>
              <w:t xml:space="preserve"> </w:t>
            </w:r>
            <w:r w:rsidRPr="00246D4D">
              <w:rPr>
                <w:rFonts w:ascii="Times New Roman" w:eastAsia="Times New Roman" w:hAnsi="Times New Roman" w:cs="Times New Roman"/>
                <w:b/>
                <w:color w:val="000000"/>
                <w:sz w:val="28"/>
                <w:szCs w:val="28"/>
                <w:bdr w:val="none" w:sz="0" w:space="0" w:color="auto" w:frame="1"/>
              </w:rPr>
              <w:t>(при их наличии)</w:t>
            </w:r>
            <w:r w:rsidRPr="00246D4D">
              <w:rPr>
                <w:rFonts w:ascii="Times New Roman" w:eastAsia="Times New Roman" w:hAnsi="Times New Roman"/>
                <w:b/>
                <w:bCs/>
                <w:color w:val="000000"/>
                <w:sz w:val="28"/>
                <w:szCs w:val="28"/>
                <w:bdr w:val="none" w:sz="0" w:space="0" w:color="auto" w:frame="1"/>
              </w:rPr>
              <w:t>. При этом дата выписки таких ЭСФ не может быть раньше первого января 2019 года;</w:t>
            </w:r>
          </w:p>
          <w:p w14:paraId="66DE1096" w14:textId="77777777" w:rsidR="00F76B44" w:rsidRPr="00246D4D" w:rsidRDefault="00F76B44" w:rsidP="00F76B44">
            <w:pPr>
              <w:pStyle w:val="a4"/>
              <w:tabs>
                <w:tab w:val="left" w:pos="1134"/>
              </w:tabs>
              <w:ind w:left="0" w:firstLine="709"/>
              <w:jc w:val="both"/>
              <w:rPr>
                <w:rFonts w:ascii="Times New Roman" w:eastAsia="Times New Roman" w:hAnsi="Times New Roman" w:cs="Times New Roman"/>
                <w:sz w:val="28"/>
                <w:szCs w:val="28"/>
              </w:rPr>
            </w:pPr>
            <w:r w:rsidRPr="00246D4D">
              <w:rPr>
                <w:rFonts w:ascii="Times New Roman" w:eastAsia="Times New Roman" w:hAnsi="Times New Roman" w:cs="Times New Roman"/>
                <w:sz w:val="28"/>
                <w:szCs w:val="28"/>
              </w:rPr>
              <w:t xml:space="preserve">2) оповещение в ИС ЭСФ о том, что налогоплательщик отнесен к высокой степени риска и, что в случае не исполнения уведомления, направленного в </w:t>
            </w:r>
            <w:proofErr w:type="spellStart"/>
            <w:r w:rsidRPr="00246D4D">
              <w:rPr>
                <w:rFonts w:ascii="Times New Roman" w:eastAsia="Times New Roman" w:hAnsi="Times New Roman" w:cs="Times New Roman"/>
                <w:sz w:val="28"/>
                <w:szCs w:val="28"/>
              </w:rPr>
              <w:t>web</w:t>
            </w:r>
            <w:proofErr w:type="spellEnd"/>
            <w:r w:rsidRPr="00246D4D">
              <w:rPr>
                <w:rFonts w:ascii="Times New Roman" w:eastAsia="Times New Roman" w:hAnsi="Times New Roman" w:cs="Times New Roman"/>
                <w:sz w:val="28"/>
                <w:szCs w:val="28"/>
              </w:rPr>
              <w:t xml:space="preserve">-приложение «Кабинет налогоплательщика», в отношении налогоплательщика будет применено ограничение </w:t>
            </w:r>
            <w:r w:rsidRPr="00246D4D">
              <w:rPr>
                <w:rFonts w:ascii="Times New Roman" w:eastAsia="Times New Roman" w:hAnsi="Times New Roman" w:cs="Times New Roman"/>
                <w:sz w:val="28"/>
                <w:szCs w:val="28"/>
              </w:rPr>
              <w:lastRenderedPageBreak/>
              <w:t xml:space="preserve">доступа к ИС </w:t>
            </w:r>
            <w:r w:rsidRPr="00246D4D">
              <w:rPr>
                <w:rFonts w:ascii="Times New Roman" w:eastAsia="Times New Roman" w:hAnsi="Times New Roman"/>
                <w:bCs/>
                <w:sz w:val="28"/>
                <w:szCs w:val="28"/>
                <w:bdr w:val="none" w:sz="0" w:space="0" w:color="auto" w:frame="1"/>
              </w:rPr>
              <w:t>ЭСФ;</w:t>
            </w:r>
            <w:r w:rsidRPr="00246D4D">
              <w:rPr>
                <w:rFonts w:ascii="Times New Roman" w:eastAsia="Times New Roman" w:hAnsi="Times New Roman" w:cs="Times New Roman"/>
                <w:sz w:val="28"/>
                <w:szCs w:val="28"/>
              </w:rPr>
              <w:t xml:space="preserve"> </w:t>
            </w:r>
          </w:p>
          <w:p w14:paraId="702F46B8" w14:textId="77777777" w:rsidR="004A3194" w:rsidRPr="00246D4D" w:rsidRDefault="00FD1AAD" w:rsidP="00F76B44">
            <w:pPr>
              <w:pStyle w:val="a6"/>
              <w:jc w:val="both"/>
              <w:rPr>
                <w:rFonts w:ascii="Times New Roman" w:hAnsi="Times New Roman" w:cs="Times New Roman"/>
                <w:lang w:eastAsia="ru-RU"/>
              </w:rPr>
            </w:pPr>
            <w:r w:rsidRPr="00246D4D">
              <w:rPr>
                <w:rFonts w:ascii="Times New Roman" w:eastAsia="Times New Roman" w:hAnsi="Times New Roman" w:cs="Times New Roman"/>
                <w:color w:val="000000"/>
                <w:sz w:val="28"/>
                <w:szCs w:val="28"/>
              </w:rPr>
              <w:t xml:space="preserve">           </w:t>
            </w:r>
            <w:r w:rsidR="00F76B44" w:rsidRPr="00246D4D">
              <w:rPr>
                <w:rFonts w:ascii="Times New Roman" w:eastAsia="Times New Roman" w:hAnsi="Times New Roman" w:cs="Times New Roman"/>
                <w:color w:val="000000"/>
                <w:sz w:val="28"/>
                <w:szCs w:val="28"/>
              </w:rPr>
              <w:t xml:space="preserve">3) извещение в </w:t>
            </w:r>
            <w:proofErr w:type="spellStart"/>
            <w:r w:rsidR="00F76B44" w:rsidRPr="00246D4D">
              <w:rPr>
                <w:rFonts w:ascii="Times New Roman" w:eastAsia="Times New Roman" w:hAnsi="Times New Roman" w:cs="Times New Roman"/>
                <w:color w:val="000000"/>
                <w:sz w:val="28"/>
                <w:szCs w:val="28"/>
              </w:rPr>
              <w:t>web</w:t>
            </w:r>
            <w:proofErr w:type="spellEnd"/>
            <w:r w:rsidR="00F76B44" w:rsidRPr="00246D4D">
              <w:rPr>
                <w:rFonts w:ascii="Times New Roman" w:eastAsia="Times New Roman" w:hAnsi="Times New Roman" w:cs="Times New Roman"/>
                <w:color w:val="000000"/>
                <w:sz w:val="28"/>
                <w:szCs w:val="28"/>
              </w:rPr>
              <w:t>-приложение «Кабинет налогоплательщика» налогоплательщика, который согласно данным ЭСФ является получателем товаров, работ, услуг.</w:t>
            </w:r>
          </w:p>
        </w:tc>
        <w:tc>
          <w:tcPr>
            <w:tcW w:w="3431" w:type="dxa"/>
          </w:tcPr>
          <w:p w14:paraId="60B90730" w14:textId="77777777" w:rsidR="004A3194" w:rsidRPr="00246D4D" w:rsidRDefault="00F25E95" w:rsidP="00FB2B90">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lastRenderedPageBreak/>
              <w:t xml:space="preserve">в </w:t>
            </w:r>
            <w:proofErr w:type="spellStart"/>
            <w:r w:rsidRPr="00246D4D">
              <w:rPr>
                <w:rFonts w:ascii="Times New Roman" w:eastAsia="Times New Roman" w:hAnsi="Times New Roman" w:cs="Times New Roman"/>
                <w:color w:val="000000"/>
                <w:sz w:val="28"/>
                <w:szCs w:val="28"/>
                <w:bdr w:val="none" w:sz="0" w:space="0" w:color="auto" w:frame="1"/>
              </w:rPr>
              <w:t>web</w:t>
            </w:r>
            <w:proofErr w:type="spellEnd"/>
            <w:r w:rsidRPr="00246D4D">
              <w:rPr>
                <w:rFonts w:ascii="Times New Roman" w:eastAsia="Times New Roman" w:hAnsi="Times New Roman" w:cs="Times New Roman"/>
                <w:color w:val="000000"/>
                <w:sz w:val="28"/>
                <w:szCs w:val="28"/>
                <w:bdr w:val="none" w:sz="0" w:space="0" w:color="auto" w:frame="1"/>
              </w:rPr>
              <w:t>-приложение «Кабинет налогоплательщика»</w:t>
            </w:r>
            <w:r w:rsidR="00085660" w:rsidRPr="00246D4D">
              <w:rPr>
                <w:rFonts w:ascii="Times New Roman" w:eastAsia="Times New Roman" w:hAnsi="Times New Roman" w:cs="Times New Roman"/>
                <w:color w:val="000000"/>
                <w:sz w:val="28"/>
                <w:szCs w:val="28"/>
                <w:bdr w:val="none" w:sz="0" w:space="0" w:color="auto" w:frame="1"/>
              </w:rPr>
              <w:t xml:space="preserve"> уведомление может быть направлено только в случае, если налогоплательщик является участником электронного обмена, как показывает статистика в текущей версии </w:t>
            </w:r>
            <w:r w:rsidRPr="00246D4D">
              <w:rPr>
                <w:rFonts w:ascii="Times New Roman" w:eastAsia="Times New Roman" w:hAnsi="Times New Roman" w:cs="Times New Roman"/>
                <w:color w:val="000000"/>
                <w:sz w:val="28"/>
                <w:szCs w:val="28"/>
                <w:bdr w:val="none" w:sz="0" w:space="0" w:color="auto" w:frame="1"/>
              </w:rPr>
              <w:t>ИС КГД</w:t>
            </w:r>
            <w:r w:rsidR="00085660" w:rsidRPr="00246D4D">
              <w:rPr>
                <w:rFonts w:ascii="Times New Roman" w:eastAsia="Times New Roman" w:hAnsi="Times New Roman" w:cs="Times New Roman"/>
                <w:color w:val="000000"/>
                <w:sz w:val="28"/>
                <w:szCs w:val="28"/>
                <w:bdr w:val="none" w:sz="0" w:space="0" w:color="auto" w:frame="1"/>
              </w:rPr>
              <w:t>, категория налогоплательщиков</w:t>
            </w:r>
            <w:r w:rsidRPr="00246D4D">
              <w:rPr>
                <w:rFonts w:ascii="Times New Roman" w:eastAsia="Times New Roman" w:hAnsi="Times New Roman" w:cs="Times New Roman"/>
                <w:color w:val="000000"/>
                <w:sz w:val="28"/>
                <w:szCs w:val="28"/>
                <w:bdr w:val="none" w:sz="0" w:space="0" w:color="auto" w:frame="1"/>
              </w:rPr>
              <w:t>,</w:t>
            </w:r>
            <w:r w:rsidR="00085660" w:rsidRPr="00246D4D">
              <w:rPr>
                <w:rFonts w:ascii="Times New Roman" w:eastAsia="Times New Roman" w:hAnsi="Times New Roman" w:cs="Times New Roman"/>
                <w:color w:val="000000"/>
                <w:sz w:val="28"/>
                <w:szCs w:val="28"/>
                <w:bdr w:val="none" w:sz="0" w:space="0" w:color="auto" w:frame="1"/>
              </w:rPr>
              <w:t xml:space="preserve"> которы</w:t>
            </w:r>
            <w:r w:rsidRPr="00246D4D">
              <w:rPr>
                <w:rFonts w:ascii="Times New Roman" w:eastAsia="Times New Roman" w:hAnsi="Times New Roman" w:cs="Times New Roman"/>
                <w:color w:val="000000"/>
                <w:sz w:val="28"/>
                <w:szCs w:val="28"/>
                <w:bdr w:val="none" w:sz="0" w:space="0" w:color="auto" w:frame="1"/>
              </w:rPr>
              <w:t>е</w:t>
            </w:r>
            <w:r w:rsidR="00085660" w:rsidRPr="00246D4D">
              <w:rPr>
                <w:rFonts w:ascii="Times New Roman" w:eastAsia="Times New Roman" w:hAnsi="Times New Roman" w:cs="Times New Roman"/>
                <w:color w:val="000000"/>
                <w:sz w:val="28"/>
                <w:szCs w:val="28"/>
                <w:bdr w:val="none" w:sz="0" w:space="0" w:color="auto" w:frame="1"/>
              </w:rPr>
              <w:t xml:space="preserve"> имеют ключ</w:t>
            </w:r>
            <w:r w:rsidRPr="00246D4D">
              <w:rPr>
                <w:rFonts w:ascii="Times New Roman" w:eastAsia="Times New Roman" w:hAnsi="Times New Roman" w:cs="Times New Roman"/>
                <w:color w:val="000000"/>
                <w:sz w:val="28"/>
                <w:szCs w:val="28"/>
                <w:bdr w:val="none" w:sz="0" w:space="0" w:color="auto" w:frame="1"/>
              </w:rPr>
              <w:t>и</w:t>
            </w:r>
            <w:r w:rsidR="00085660" w:rsidRPr="00246D4D">
              <w:rPr>
                <w:rFonts w:ascii="Times New Roman" w:eastAsia="Times New Roman" w:hAnsi="Times New Roman" w:cs="Times New Roman"/>
                <w:color w:val="000000"/>
                <w:sz w:val="28"/>
                <w:szCs w:val="28"/>
                <w:bdr w:val="none" w:sz="0" w:space="0" w:color="auto" w:frame="1"/>
              </w:rPr>
              <w:t xml:space="preserve"> </w:t>
            </w:r>
            <w:r w:rsidRPr="00246D4D">
              <w:rPr>
                <w:rFonts w:ascii="Times New Roman" w:eastAsia="Times New Roman" w:hAnsi="Times New Roman" w:cs="Times New Roman"/>
                <w:color w:val="000000"/>
                <w:sz w:val="28"/>
                <w:szCs w:val="28"/>
                <w:bdr w:val="none" w:sz="0" w:space="0" w:color="auto" w:frame="1"/>
              </w:rPr>
              <w:t>национального удостоверяющего центра</w:t>
            </w:r>
            <w:r w:rsidR="00085660" w:rsidRPr="00246D4D">
              <w:rPr>
                <w:rFonts w:ascii="Times New Roman" w:eastAsia="Times New Roman" w:hAnsi="Times New Roman" w:cs="Times New Roman"/>
                <w:color w:val="000000"/>
                <w:sz w:val="28"/>
                <w:szCs w:val="28"/>
                <w:bdr w:val="none" w:sz="0" w:space="0" w:color="auto" w:frame="1"/>
              </w:rPr>
              <w:t>, не получают уведомлени</w:t>
            </w:r>
            <w:r w:rsidRPr="00246D4D">
              <w:rPr>
                <w:rFonts w:ascii="Times New Roman" w:eastAsia="Times New Roman" w:hAnsi="Times New Roman" w:cs="Times New Roman"/>
                <w:color w:val="000000"/>
                <w:sz w:val="28"/>
                <w:szCs w:val="28"/>
                <w:bdr w:val="none" w:sz="0" w:space="0" w:color="auto" w:frame="1"/>
              </w:rPr>
              <w:t>я</w:t>
            </w:r>
            <w:r w:rsidR="00085660" w:rsidRPr="00246D4D">
              <w:rPr>
                <w:rFonts w:ascii="Times New Roman" w:eastAsia="Times New Roman" w:hAnsi="Times New Roman" w:cs="Times New Roman"/>
                <w:color w:val="000000"/>
                <w:sz w:val="28"/>
                <w:szCs w:val="28"/>
                <w:bdr w:val="none" w:sz="0" w:space="0" w:color="auto" w:frame="1"/>
              </w:rPr>
              <w:t xml:space="preserve"> в КНП. В связи с чем</w:t>
            </w:r>
            <w:r w:rsidRPr="00246D4D">
              <w:rPr>
                <w:rFonts w:ascii="Times New Roman" w:eastAsia="Times New Roman" w:hAnsi="Times New Roman" w:cs="Times New Roman"/>
                <w:color w:val="000000"/>
                <w:sz w:val="28"/>
                <w:szCs w:val="28"/>
                <w:bdr w:val="none" w:sz="0" w:space="0" w:color="auto" w:frame="1"/>
              </w:rPr>
              <w:t>,</w:t>
            </w:r>
            <w:r w:rsidR="00085660" w:rsidRPr="00246D4D">
              <w:rPr>
                <w:rFonts w:ascii="Times New Roman" w:eastAsia="Times New Roman" w:hAnsi="Times New Roman" w:cs="Times New Roman"/>
                <w:color w:val="000000"/>
                <w:sz w:val="28"/>
                <w:szCs w:val="28"/>
                <w:bdr w:val="none" w:sz="0" w:space="0" w:color="auto" w:frame="1"/>
              </w:rPr>
              <w:t xml:space="preserve"> в их адрес уведомлени</w:t>
            </w:r>
            <w:r w:rsidRPr="00246D4D">
              <w:rPr>
                <w:rFonts w:ascii="Times New Roman" w:eastAsia="Times New Roman" w:hAnsi="Times New Roman" w:cs="Times New Roman"/>
                <w:color w:val="000000"/>
                <w:sz w:val="28"/>
                <w:szCs w:val="28"/>
                <w:bdr w:val="none" w:sz="0" w:space="0" w:color="auto" w:frame="1"/>
              </w:rPr>
              <w:t>я</w:t>
            </w:r>
            <w:r w:rsidR="00085660" w:rsidRPr="00246D4D">
              <w:rPr>
                <w:rFonts w:ascii="Times New Roman" w:eastAsia="Times New Roman" w:hAnsi="Times New Roman" w:cs="Times New Roman"/>
                <w:color w:val="000000"/>
                <w:sz w:val="28"/>
                <w:szCs w:val="28"/>
                <w:bdr w:val="none" w:sz="0" w:space="0" w:color="auto" w:frame="1"/>
              </w:rPr>
              <w:t xml:space="preserve"> </w:t>
            </w:r>
            <w:r w:rsidR="00085660" w:rsidRPr="00246D4D">
              <w:rPr>
                <w:rFonts w:ascii="Times New Roman" w:eastAsia="Times New Roman" w:hAnsi="Times New Roman" w:cs="Times New Roman"/>
                <w:color w:val="000000"/>
                <w:sz w:val="28"/>
                <w:szCs w:val="28"/>
                <w:bdr w:val="none" w:sz="0" w:space="0" w:color="auto" w:frame="1"/>
              </w:rPr>
              <w:lastRenderedPageBreak/>
              <w:t>направляется</w:t>
            </w:r>
            <w:r w:rsidRPr="00246D4D">
              <w:rPr>
                <w:rFonts w:ascii="Times New Roman" w:eastAsia="Times New Roman" w:hAnsi="Times New Roman" w:cs="Times New Roman"/>
                <w:color w:val="000000"/>
                <w:sz w:val="28"/>
                <w:szCs w:val="28"/>
                <w:bdr w:val="none" w:sz="0" w:space="0" w:color="auto" w:frame="1"/>
              </w:rPr>
              <w:t xml:space="preserve"> способами установленные Налоговым кодексом, то есть:</w:t>
            </w:r>
            <w:r w:rsidR="00085660" w:rsidRPr="00246D4D">
              <w:rPr>
                <w:rFonts w:ascii="Times New Roman" w:eastAsia="Times New Roman" w:hAnsi="Times New Roman" w:cs="Times New Roman"/>
                <w:color w:val="000000"/>
                <w:sz w:val="28"/>
                <w:szCs w:val="28"/>
                <w:bdr w:val="none" w:sz="0" w:space="0" w:color="auto" w:frame="1"/>
              </w:rPr>
              <w:t xml:space="preserve"> по почте или вруча</w:t>
            </w:r>
            <w:r w:rsidRPr="00246D4D">
              <w:rPr>
                <w:rFonts w:ascii="Times New Roman" w:eastAsia="Times New Roman" w:hAnsi="Times New Roman" w:cs="Times New Roman"/>
                <w:color w:val="000000"/>
                <w:sz w:val="28"/>
                <w:szCs w:val="28"/>
                <w:bdr w:val="none" w:sz="0" w:space="0" w:color="auto" w:frame="1"/>
              </w:rPr>
              <w:t>ю</w:t>
            </w:r>
            <w:r w:rsidR="00085660" w:rsidRPr="00246D4D">
              <w:rPr>
                <w:rFonts w:ascii="Times New Roman" w:eastAsia="Times New Roman" w:hAnsi="Times New Roman" w:cs="Times New Roman"/>
                <w:color w:val="000000"/>
                <w:sz w:val="28"/>
                <w:szCs w:val="28"/>
                <w:bdr w:val="none" w:sz="0" w:space="0" w:color="auto" w:frame="1"/>
              </w:rPr>
              <w:t xml:space="preserve">тся </w:t>
            </w:r>
            <w:r w:rsidRPr="00246D4D">
              <w:rPr>
                <w:rFonts w:ascii="Times New Roman" w:eastAsia="Times New Roman" w:hAnsi="Times New Roman" w:cs="Times New Roman"/>
                <w:color w:val="000000"/>
                <w:sz w:val="28"/>
                <w:szCs w:val="28"/>
                <w:bdr w:val="none" w:sz="0" w:space="0" w:color="auto" w:frame="1"/>
              </w:rPr>
              <w:t>нарочно</w:t>
            </w:r>
            <w:r w:rsidR="00720125" w:rsidRPr="00246D4D">
              <w:rPr>
                <w:rFonts w:ascii="Times New Roman" w:eastAsia="Times New Roman" w:hAnsi="Times New Roman" w:cs="Times New Roman"/>
                <w:color w:val="000000"/>
                <w:sz w:val="28"/>
                <w:szCs w:val="28"/>
                <w:bdr w:val="none" w:sz="0" w:space="0" w:color="auto" w:frame="1"/>
              </w:rPr>
              <w:t>.</w:t>
            </w:r>
          </w:p>
          <w:p w14:paraId="3555B081" w14:textId="77777777" w:rsidR="00720125" w:rsidRPr="00246D4D" w:rsidRDefault="00720125" w:rsidP="00720125">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Относительно даты выписки ЭСФ: по предложению АНК</w:t>
            </w:r>
            <w:r w:rsidR="00DF4E4C" w:rsidRPr="00246D4D">
              <w:rPr>
                <w:rFonts w:ascii="Times New Roman" w:eastAsia="Times New Roman" w:hAnsi="Times New Roman" w:cs="Times New Roman"/>
                <w:color w:val="000000"/>
                <w:sz w:val="28"/>
                <w:szCs w:val="28"/>
                <w:bdr w:val="none" w:sz="0" w:space="0" w:color="auto" w:frame="1"/>
              </w:rPr>
              <w:t xml:space="preserve"> с целью исключения включения в высокий риск по ЭСФ, выписанным до 2019 года</w:t>
            </w:r>
          </w:p>
        </w:tc>
      </w:tr>
      <w:tr w:rsidR="0071161C" w:rsidRPr="00246D4D" w14:paraId="4D136D8B" w14:textId="77777777" w:rsidTr="006A410B">
        <w:tc>
          <w:tcPr>
            <w:tcW w:w="534" w:type="dxa"/>
          </w:tcPr>
          <w:p w14:paraId="2C37BB5B" w14:textId="77777777" w:rsidR="0071161C" w:rsidRPr="00246D4D" w:rsidRDefault="00676249" w:rsidP="006A410B">
            <w:pPr>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4</w:t>
            </w:r>
          </w:p>
        </w:tc>
        <w:tc>
          <w:tcPr>
            <w:tcW w:w="1905" w:type="dxa"/>
          </w:tcPr>
          <w:p w14:paraId="711B49F4" w14:textId="77777777" w:rsidR="0071161C" w:rsidRPr="00246D4D" w:rsidRDefault="0071161C" w:rsidP="0071161C">
            <w:pPr>
              <w:pStyle w:val="a6"/>
              <w:rPr>
                <w:rFonts w:ascii="Times New Roman" w:eastAsia="Times New Roman" w:hAnsi="Times New Roman" w:cs="Times New Roman"/>
                <w:bCs/>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пункт 1</w:t>
            </w:r>
            <w:r>
              <w:rPr>
                <w:rFonts w:ascii="Times New Roman" w:eastAsia="Times New Roman" w:hAnsi="Times New Roman" w:cs="Times New Roman"/>
                <w:bCs/>
                <w:color w:val="000000"/>
                <w:sz w:val="28"/>
                <w:szCs w:val="28"/>
                <w:bdr w:val="none" w:sz="0" w:space="0" w:color="auto" w:frame="1"/>
              </w:rPr>
              <w:t>4</w:t>
            </w:r>
          </w:p>
        </w:tc>
        <w:tc>
          <w:tcPr>
            <w:tcW w:w="4933" w:type="dxa"/>
          </w:tcPr>
          <w:p w14:paraId="3EF102D0" w14:textId="77777777" w:rsidR="0071161C" w:rsidRPr="0071161C" w:rsidRDefault="0071161C" w:rsidP="0071161C">
            <w:pPr>
              <w:ind w:firstLine="709"/>
              <w:jc w:val="both"/>
              <w:rPr>
                <w:rFonts w:ascii="Times New Roman" w:eastAsia="Times New Roman" w:hAnsi="Times New Roman" w:cs="Times New Roman"/>
                <w:sz w:val="28"/>
                <w:szCs w:val="28"/>
              </w:rPr>
            </w:pPr>
            <w:r w:rsidRPr="0071161C">
              <w:rPr>
                <w:rFonts w:ascii="Times New Roman" w:eastAsia="Times New Roman" w:hAnsi="Times New Roman" w:cs="Times New Roman"/>
                <w:sz w:val="28"/>
                <w:szCs w:val="28"/>
              </w:rPr>
              <w:t>14. Органы государственных доходов производят применение ограничения доступа к ИС Э</w:t>
            </w:r>
            <w:r>
              <w:rPr>
                <w:rFonts w:ascii="Times New Roman" w:eastAsia="Times New Roman" w:hAnsi="Times New Roman" w:cs="Times New Roman"/>
                <w:sz w:val="28"/>
                <w:szCs w:val="28"/>
              </w:rPr>
              <w:t>СФ в следующих случаях и сроки:</w:t>
            </w:r>
          </w:p>
          <w:p w14:paraId="3F05B211" w14:textId="77777777" w:rsidR="0071161C" w:rsidRPr="0071161C" w:rsidRDefault="0071161C" w:rsidP="0071161C">
            <w:pPr>
              <w:ind w:firstLine="709"/>
              <w:jc w:val="both"/>
              <w:rPr>
                <w:rFonts w:ascii="Times New Roman" w:eastAsia="Times New Roman" w:hAnsi="Times New Roman" w:cs="Times New Roman"/>
                <w:sz w:val="28"/>
                <w:szCs w:val="28"/>
              </w:rPr>
            </w:pPr>
            <w:r w:rsidRPr="0071161C">
              <w:rPr>
                <w:rFonts w:ascii="Times New Roman" w:eastAsia="Times New Roman" w:hAnsi="Times New Roman" w:cs="Times New Roman"/>
                <w:sz w:val="28"/>
                <w:szCs w:val="28"/>
              </w:rPr>
              <w:t xml:space="preserve">      1) в течение одного рабочего дня после завершения анализа пояснения, при условии, что такое пояснение не содержит сведений, указанных в пункте </w:t>
            </w:r>
            <w:r>
              <w:rPr>
                <w:rFonts w:ascii="Times New Roman" w:eastAsia="Times New Roman" w:hAnsi="Times New Roman" w:cs="Times New Roman"/>
                <w:sz w:val="28"/>
                <w:szCs w:val="28"/>
              </w:rPr>
              <w:t>2 статьи 96 Налогового кодекса;</w:t>
            </w:r>
          </w:p>
          <w:p w14:paraId="588CFB1C" w14:textId="77777777" w:rsidR="0071161C" w:rsidRPr="00246D4D" w:rsidRDefault="0071161C" w:rsidP="0071161C">
            <w:pPr>
              <w:ind w:firstLine="709"/>
              <w:jc w:val="both"/>
              <w:rPr>
                <w:rFonts w:ascii="Times New Roman" w:eastAsia="Times New Roman" w:hAnsi="Times New Roman" w:cs="Times New Roman"/>
                <w:sz w:val="28"/>
                <w:szCs w:val="28"/>
              </w:rPr>
            </w:pPr>
            <w:r w:rsidRPr="0071161C">
              <w:rPr>
                <w:rFonts w:ascii="Times New Roman" w:eastAsia="Times New Roman" w:hAnsi="Times New Roman" w:cs="Times New Roman"/>
                <w:sz w:val="28"/>
                <w:szCs w:val="28"/>
              </w:rPr>
              <w:t xml:space="preserve">      2) в течение одного рабочего дня после истечения срока исполнения уведомления, при условии, что такое уведомление не исполнено.</w:t>
            </w:r>
          </w:p>
        </w:tc>
        <w:tc>
          <w:tcPr>
            <w:tcW w:w="4536" w:type="dxa"/>
          </w:tcPr>
          <w:p w14:paraId="338A3F35" w14:textId="77777777" w:rsidR="0071161C" w:rsidRDefault="0071161C" w:rsidP="0071161C">
            <w:pPr>
              <w:pStyle w:val="a4"/>
              <w:tabs>
                <w:tab w:val="left" w:pos="1134"/>
              </w:tabs>
              <w:ind w:left="0" w:firstLine="709"/>
              <w:jc w:val="both"/>
              <w:rPr>
                <w:rFonts w:ascii="Times New Roman" w:eastAsia="Times New Roman" w:hAnsi="Times New Roman" w:cs="Times New Roman"/>
                <w:b/>
                <w:sz w:val="24"/>
                <w:szCs w:val="24"/>
              </w:rPr>
            </w:pPr>
            <w:r>
              <w:rPr>
                <w:rFonts w:ascii="Times New Roman" w:eastAsia="Times New Roman" w:hAnsi="Times New Roman"/>
                <w:bCs/>
                <w:color w:val="000000"/>
                <w:sz w:val="28"/>
                <w:szCs w:val="28"/>
                <w:bdr w:val="none" w:sz="0" w:space="0" w:color="auto" w:frame="1"/>
              </w:rPr>
              <w:t>14. Органы государственных доходов производят</w:t>
            </w:r>
            <w:r>
              <w:rPr>
                <w:rFonts w:ascii="Times New Roman" w:eastAsia="Times New Roman" w:hAnsi="Times New Roman" w:cs="Times New Roman"/>
                <w:sz w:val="28"/>
              </w:rPr>
              <w:t xml:space="preserve"> </w:t>
            </w:r>
            <w:r>
              <w:rPr>
                <w:rFonts w:ascii="Times New Roman" w:eastAsia="Times New Roman" w:hAnsi="Times New Roman"/>
                <w:bCs/>
                <w:color w:val="000000"/>
                <w:sz w:val="28"/>
                <w:szCs w:val="28"/>
                <w:bdr w:val="none" w:sz="0" w:space="0" w:color="auto" w:frame="1"/>
              </w:rPr>
              <w:t xml:space="preserve">применение ограничения доступа к ИС ЭСФ </w:t>
            </w:r>
            <w:r>
              <w:rPr>
                <w:rFonts w:ascii="Times New Roman" w:eastAsia="Times New Roman" w:hAnsi="Times New Roman" w:cs="Times New Roman"/>
                <w:color w:val="000000"/>
                <w:sz w:val="28"/>
                <w:szCs w:val="28"/>
              </w:rPr>
              <w:t xml:space="preserve">в следующих случаях и сроки: </w:t>
            </w:r>
          </w:p>
          <w:p w14:paraId="59A7AC85" w14:textId="77777777" w:rsidR="0071161C" w:rsidRDefault="0071161C" w:rsidP="0071161C">
            <w:pPr>
              <w:pStyle w:val="a4"/>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 течение одного рабочего дня после завершения анализа пояснения, при условии, что такое пояснение не содержит сведений, указанных в пункте 2 статьи 96 Налогового кодекса;</w:t>
            </w:r>
          </w:p>
          <w:p w14:paraId="1092431C" w14:textId="77777777" w:rsidR="0071161C" w:rsidRDefault="00676249" w:rsidP="0071161C">
            <w:pPr>
              <w:pStyle w:val="a4"/>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течение</w:t>
            </w:r>
            <w:r w:rsidR="0071161C">
              <w:rPr>
                <w:rFonts w:ascii="Times New Roman" w:eastAsia="Times New Roman" w:hAnsi="Times New Roman" w:cs="Times New Roman"/>
                <w:color w:val="000000"/>
                <w:sz w:val="28"/>
                <w:szCs w:val="28"/>
              </w:rPr>
              <w:t xml:space="preserve"> одного рабочего дня после истечения срока исполнения уведомления, при условии, что такое уведомление не исполнено.</w:t>
            </w:r>
          </w:p>
          <w:p w14:paraId="56254603" w14:textId="77777777" w:rsidR="0071161C" w:rsidRPr="00676249" w:rsidRDefault="0071161C" w:rsidP="0071161C">
            <w:pPr>
              <w:ind w:firstLine="709"/>
              <w:jc w:val="both"/>
              <w:rPr>
                <w:rFonts w:ascii="Times New Roman" w:eastAsia="Times New Roman" w:hAnsi="Times New Roman"/>
                <w:b/>
                <w:bCs/>
                <w:color w:val="000000"/>
                <w:sz w:val="28"/>
                <w:szCs w:val="28"/>
                <w:bdr w:val="none" w:sz="0" w:space="0" w:color="auto" w:frame="1"/>
              </w:rPr>
            </w:pPr>
            <w:r w:rsidRPr="00676249">
              <w:rPr>
                <w:rFonts w:ascii="Times New Roman" w:eastAsia="Times New Roman" w:hAnsi="Times New Roman"/>
                <w:b/>
                <w:bCs/>
                <w:color w:val="000000"/>
                <w:sz w:val="28"/>
                <w:szCs w:val="28"/>
                <w:bdr w:val="none" w:sz="0" w:space="0" w:color="auto" w:frame="1"/>
              </w:rPr>
              <w:t xml:space="preserve">При этом в ИС ЭСФ органами государственных </w:t>
            </w:r>
            <w:r w:rsidRPr="00676249">
              <w:rPr>
                <w:rFonts w:ascii="Times New Roman" w:eastAsia="Times New Roman" w:hAnsi="Times New Roman"/>
                <w:b/>
                <w:bCs/>
                <w:color w:val="000000"/>
                <w:sz w:val="28"/>
                <w:szCs w:val="28"/>
                <w:bdr w:val="none" w:sz="0" w:space="0" w:color="auto" w:frame="1"/>
              </w:rPr>
              <w:lastRenderedPageBreak/>
              <w:t>доходов направляется оповещение о применении системы управления рисками при таком ограничении доступа к ИС ЭСФ, а также о  неисполнении уведомления.</w:t>
            </w:r>
          </w:p>
        </w:tc>
        <w:tc>
          <w:tcPr>
            <w:tcW w:w="3431" w:type="dxa"/>
          </w:tcPr>
          <w:p w14:paraId="6EFBCDCF" w14:textId="77777777" w:rsidR="0071161C" w:rsidRPr="00246D4D" w:rsidRDefault="008449C2" w:rsidP="00FB2B90">
            <w:pPr>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В целях дополнительного информирования о причинах.</w:t>
            </w:r>
          </w:p>
        </w:tc>
      </w:tr>
      <w:tr w:rsidR="00B064D1" w:rsidRPr="00246D4D" w14:paraId="331953C5" w14:textId="77777777" w:rsidTr="006A410B">
        <w:tc>
          <w:tcPr>
            <w:tcW w:w="534" w:type="dxa"/>
          </w:tcPr>
          <w:p w14:paraId="7D5E4456" w14:textId="77777777" w:rsidR="00B064D1" w:rsidRPr="00246D4D" w:rsidRDefault="00676249" w:rsidP="006A410B">
            <w:pPr>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5</w:t>
            </w:r>
          </w:p>
        </w:tc>
        <w:tc>
          <w:tcPr>
            <w:tcW w:w="1905" w:type="dxa"/>
          </w:tcPr>
          <w:p w14:paraId="24708517" w14:textId="77777777" w:rsidR="00B064D1" w:rsidRPr="00246D4D" w:rsidRDefault="00757291" w:rsidP="007E206F">
            <w:pPr>
              <w:pStyle w:val="a6"/>
              <w:rPr>
                <w:rFonts w:ascii="Times New Roman" w:eastAsia="Times New Roman" w:hAnsi="Times New Roman" w:cs="Times New Roman"/>
                <w:bCs/>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п</w:t>
            </w:r>
            <w:r w:rsidR="00FD1AAD" w:rsidRPr="00246D4D">
              <w:rPr>
                <w:rFonts w:ascii="Times New Roman" w:eastAsia="Times New Roman" w:hAnsi="Times New Roman" w:cs="Times New Roman"/>
                <w:bCs/>
                <w:color w:val="000000"/>
                <w:sz w:val="28"/>
                <w:szCs w:val="28"/>
                <w:bdr w:val="none" w:sz="0" w:space="0" w:color="auto" w:frame="1"/>
              </w:rPr>
              <w:t>ункт 15</w:t>
            </w:r>
          </w:p>
        </w:tc>
        <w:tc>
          <w:tcPr>
            <w:tcW w:w="4933" w:type="dxa"/>
          </w:tcPr>
          <w:p w14:paraId="0BAE81ED" w14:textId="77777777" w:rsidR="00B064D1" w:rsidRPr="00246D4D" w:rsidRDefault="00B064D1" w:rsidP="00F76B44">
            <w:pPr>
              <w:ind w:firstLine="709"/>
              <w:jc w:val="both"/>
              <w:rPr>
                <w:rFonts w:ascii="Times New Roman" w:eastAsia="Times New Roman" w:hAnsi="Times New Roman" w:cs="Times New Roman"/>
                <w:sz w:val="28"/>
                <w:szCs w:val="28"/>
              </w:rPr>
            </w:pPr>
            <w:r w:rsidRPr="00246D4D">
              <w:rPr>
                <w:rFonts w:ascii="Times New Roman" w:eastAsia="Times New Roman" w:hAnsi="Times New Roman" w:cs="Times New Roman"/>
                <w:sz w:val="28"/>
                <w:szCs w:val="28"/>
              </w:rPr>
              <w:t>15. В случае исполнения уведомления органы государственных доходов в течение трех рабочих дней после исполнения такого уведомления отменяют применение ограничения доступа к ИС ЭСФ.</w:t>
            </w:r>
          </w:p>
        </w:tc>
        <w:tc>
          <w:tcPr>
            <w:tcW w:w="4536" w:type="dxa"/>
          </w:tcPr>
          <w:p w14:paraId="40BB07E9" w14:textId="77777777" w:rsidR="00B064D1" w:rsidRPr="00246D4D" w:rsidRDefault="00B064D1" w:rsidP="00F76B44">
            <w:pPr>
              <w:ind w:firstLine="709"/>
              <w:jc w:val="both"/>
              <w:rPr>
                <w:rFonts w:ascii="Times New Roman" w:eastAsia="Times New Roman" w:hAnsi="Times New Roman"/>
                <w:bCs/>
                <w:color w:val="000000"/>
                <w:sz w:val="28"/>
                <w:szCs w:val="28"/>
                <w:bdr w:val="none" w:sz="0" w:space="0" w:color="auto" w:frame="1"/>
              </w:rPr>
            </w:pPr>
            <w:r w:rsidRPr="00246D4D">
              <w:rPr>
                <w:rFonts w:ascii="Times New Roman" w:eastAsia="Times New Roman" w:hAnsi="Times New Roman"/>
                <w:bCs/>
                <w:color w:val="000000"/>
                <w:sz w:val="28"/>
                <w:szCs w:val="28"/>
                <w:bdr w:val="none" w:sz="0" w:space="0" w:color="auto" w:frame="1"/>
              </w:rPr>
              <w:t xml:space="preserve">15. В случае исполнения уведомления органы государственных доходов в течение </w:t>
            </w:r>
            <w:r w:rsidRPr="00246D4D">
              <w:rPr>
                <w:rFonts w:ascii="Times New Roman" w:eastAsia="Times New Roman" w:hAnsi="Times New Roman"/>
                <w:b/>
                <w:bCs/>
                <w:color w:val="000000"/>
                <w:sz w:val="28"/>
                <w:szCs w:val="28"/>
                <w:bdr w:val="none" w:sz="0" w:space="0" w:color="auto" w:frame="1"/>
              </w:rPr>
              <w:t>одного</w:t>
            </w:r>
            <w:r w:rsidRPr="00246D4D">
              <w:rPr>
                <w:rFonts w:ascii="Times New Roman" w:eastAsia="Times New Roman" w:hAnsi="Times New Roman"/>
                <w:bCs/>
                <w:color w:val="000000"/>
                <w:sz w:val="28"/>
                <w:szCs w:val="28"/>
                <w:bdr w:val="none" w:sz="0" w:space="0" w:color="auto" w:frame="1"/>
              </w:rPr>
              <w:t xml:space="preserve"> рабочего дня после исполнения такого уведомления отменяют применение ограничения доступа к ИС ЭСФ.</w:t>
            </w:r>
          </w:p>
        </w:tc>
        <w:tc>
          <w:tcPr>
            <w:tcW w:w="3431" w:type="dxa"/>
          </w:tcPr>
          <w:p w14:paraId="622B52EE" w14:textId="77777777" w:rsidR="00B064D1" w:rsidRPr="00246D4D" w:rsidRDefault="00DF4E4C" w:rsidP="00FB2B90">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 xml:space="preserve">По предложению АНК, в целях сокращения сроков периода ограничения выписки ЭСФ. </w:t>
            </w:r>
          </w:p>
        </w:tc>
      </w:tr>
      <w:tr w:rsidR="00FD1AAD" w:rsidRPr="00246D4D" w14:paraId="65E121BE" w14:textId="77777777" w:rsidTr="006A410B">
        <w:tc>
          <w:tcPr>
            <w:tcW w:w="534" w:type="dxa"/>
          </w:tcPr>
          <w:p w14:paraId="6DAF8834" w14:textId="77777777" w:rsidR="00FD1AAD" w:rsidRPr="00246D4D" w:rsidRDefault="00676249" w:rsidP="006A410B">
            <w:pPr>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6</w:t>
            </w:r>
          </w:p>
        </w:tc>
        <w:tc>
          <w:tcPr>
            <w:tcW w:w="1905" w:type="dxa"/>
          </w:tcPr>
          <w:p w14:paraId="0209125A" w14:textId="77777777" w:rsidR="00FD1AAD" w:rsidRPr="00246D4D" w:rsidRDefault="00757291" w:rsidP="007E206F">
            <w:pPr>
              <w:pStyle w:val="a6"/>
              <w:rPr>
                <w:rFonts w:ascii="Times New Roman" w:eastAsia="Times New Roman" w:hAnsi="Times New Roman" w:cs="Times New Roman"/>
                <w:bCs/>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пункт 16</w:t>
            </w:r>
          </w:p>
        </w:tc>
        <w:tc>
          <w:tcPr>
            <w:tcW w:w="4933" w:type="dxa"/>
          </w:tcPr>
          <w:p w14:paraId="3111CA0F" w14:textId="77777777" w:rsidR="00FD1AAD" w:rsidRPr="00676249" w:rsidRDefault="00757291" w:rsidP="00F76B44">
            <w:pPr>
              <w:ind w:firstLine="709"/>
              <w:jc w:val="both"/>
              <w:rPr>
                <w:rFonts w:ascii="Times New Roman" w:eastAsia="Times New Roman" w:hAnsi="Times New Roman" w:cs="Times New Roman"/>
                <w:b/>
                <w:sz w:val="28"/>
                <w:szCs w:val="28"/>
              </w:rPr>
            </w:pPr>
            <w:r w:rsidRPr="00676249">
              <w:rPr>
                <w:rFonts w:ascii="Times New Roman" w:eastAsia="Times New Roman" w:hAnsi="Times New Roman" w:cs="Times New Roman"/>
                <w:b/>
                <w:sz w:val="28"/>
                <w:szCs w:val="28"/>
              </w:rPr>
              <w:t>Отсутствует</w:t>
            </w:r>
          </w:p>
        </w:tc>
        <w:tc>
          <w:tcPr>
            <w:tcW w:w="4536" w:type="dxa"/>
          </w:tcPr>
          <w:p w14:paraId="1281603F" w14:textId="77777777" w:rsidR="00FD1AAD" w:rsidRPr="00246D4D" w:rsidRDefault="00FD1AAD" w:rsidP="00F76B44">
            <w:pPr>
              <w:ind w:firstLine="709"/>
              <w:jc w:val="both"/>
              <w:rPr>
                <w:rFonts w:ascii="Times New Roman" w:eastAsia="Times New Roman" w:hAnsi="Times New Roman"/>
                <w:bCs/>
                <w:color w:val="000000"/>
                <w:sz w:val="28"/>
                <w:szCs w:val="28"/>
                <w:bdr w:val="none" w:sz="0" w:space="0" w:color="auto" w:frame="1"/>
              </w:rPr>
            </w:pPr>
            <w:r w:rsidRPr="00246D4D">
              <w:rPr>
                <w:rFonts w:ascii="Times New Roman" w:eastAsia="Times New Roman" w:hAnsi="Times New Roman"/>
                <w:bCs/>
                <w:color w:val="000000"/>
                <w:sz w:val="28"/>
                <w:szCs w:val="28"/>
                <w:bdr w:val="none" w:sz="0" w:space="0" w:color="auto" w:frame="1"/>
              </w:rPr>
              <w:t>16. В случае снятия ограничения выписки ЭСФ после исполнения уведомления сроки выписки ЭСФ, предусмотренные статьей 413 Налогового кодекса, продлеваются на период такого ограничения.</w:t>
            </w:r>
          </w:p>
        </w:tc>
        <w:tc>
          <w:tcPr>
            <w:tcW w:w="3431" w:type="dxa"/>
          </w:tcPr>
          <w:p w14:paraId="0855FD3F" w14:textId="77777777" w:rsidR="00FD1AAD" w:rsidRPr="00246D4D" w:rsidRDefault="00DF4E4C" w:rsidP="00FB2B90">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По предложению АНК, в целях исключения нарушений по срокам выписки ЭСФ.</w:t>
            </w:r>
          </w:p>
        </w:tc>
      </w:tr>
      <w:tr w:rsidR="00FD1AAD" w:rsidRPr="00246D4D" w14:paraId="4D06107D" w14:textId="77777777" w:rsidTr="006A410B">
        <w:tc>
          <w:tcPr>
            <w:tcW w:w="534" w:type="dxa"/>
          </w:tcPr>
          <w:p w14:paraId="08D85749" w14:textId="77777777" w:rsidR="00FD1AAD" w:rsidRPr="00246D4D" w:rsidRDefault="00676249" w:rsidP="006A410B">
            <w:pPr>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7</w:t>
            </w:r>
          </w:p>
        </w:tc>
        <w:tc>
          <w:tcPr>
            <w:tcW w:w="1905" w:type="dxa"/>
          </w:tcPr>
          <w:p w14:paraId="6E993627" w14:textId="77777777" w:rsidR="00FD1AAD" w:rsidRPr="00246D4D" w:rsidRDefault="00757291" w:rsidP="007E206F">
            <w:pPr>
              <w:pStyle w:val="a6"/>
              <w:rPr>
                <w:rFonts w:ascii="Times New Roman" w:eastAsia="Times New Roman" w:hAnsi="Times New Roman" w:cs="Times New Roman"/>
                <w:bCs/>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пункт 17</w:t>
            </w:r>
          </w:p>
        </w:tc>
        <w:tc>
          <w:tcPr>
            <w:tcW w:w="4933" w:type="dxa"/>
          </w:tcPr>
          <w:p w14:paraId="06BF5D93" w14:textId="77777777" w:rsidR="00FD1AAD" w:rsidRPr="00676249" w:rsidRDefault="00757291" w:rsidP="00F76B44">
            <w:pPr>
              <w:ind w:firstLine="709"/>
              <w:jc w:val="both"/>
              <w:rPr>
                <w:rFonts w:ascii="Times New Roman" w:eastAsia="Times New Roman" w:hAnsi="Times New Roman" w:cs="Times New Roman"/>
                <w:b/>
                <w:sz w:val="28"/>
                <w:szCs w:val="28"/>
              </w:rPr>
            </w:pPr>
            <w:r w:rsidRPr="00676249">
              <w:rPr>
                <w:rFonts w:ascii="Times New Roman" w:eastAsia="Times New Roman" w:hAnsi="Times New Roman" w:cs="Times New Roman"/>
                <w:b/>
                <w:sz w:val="28"/>
                <w:szCs w:val="28"/>
              </w:rPr>
              <w:t>Отсутствует</w:t>
            </w:r>
          </w:p>
        </w:tc>
        <w:tc>
          <w:tcPr>
            <w:tcW w:w="4536" w:type="dxa"/>
          </w:tcPr>
          <w:p w14:paraId="767576FD" w14:textId="77777777" w:rsidR="00FD1AAD" w:rsidRPr="00246D4D" w:rsidRDefault="00FD1AAD" w:rsidP="00F76B44">
            <w:pPr>
              <w:ind w:firstLine="709"/>
              <w:jc w:val="both"/>
              <w:rPr>
                <w:rFonts w:ascii="Times New Roman" w:eastAsia="Times New Roman" w:hAnsi="Times New Roman"/>
                <w:bCs/>
                <w:color w:val="000000"/>
                <w:sz w:val="28"/>
                <w:szCs w:val="28"/>
                <w:bdr w:val="none" w:sz="0" w:space="0" w:color="auto" w:frame="1"/>
              </w:rPr>
            </w:pPr>
            <w:r w:rsidRPr="00246D4D">
              <w:rPr>
                <w:rFonts w:ascii="Times New Roman" w:eastAsia="Times New Roman" w:hAnsi="Times New Roman"/>
                <w:bCs/>
                <w:color w:val="000000"/>
                <w:sz w:val="28"/>
                <w:szCs w:val="28"/>
                <w:bdr w:val="none" w:sz="0" w:space="0" w:color="auto" w:frame="1"/>
              </w:rPr>
              <w:t xml:space="preserve">17. Камеральный контроль и исполнение уведомления об устранении нарушений, выявленных органами государственных доходов по результатам камерального контроля, осуществляется в порядке, определённом главой 10 Налогового кодекса, за </w:t>
            </w:r>
            <w:r w:rsidRPr="00246D4D">
              <w:rPr>
                <w:rFonts w:ascii="Times New Roman" w:eastAsia="Times New Roman" w:hAnsi="Times New Roman"/>
                <w:bCs/>
                <w:color w:val="000000"/>
                <w:sz w:val="28"/>
                <w:szCs w:val="28"/>
                <w:bdr w:val="none" w:sz="0" w:space="0" w:color="auto" w:frame="1"/>
              </w:rPr>
              <w:lastRenderedPageBreak/>
              <w:t>исключением особенностей, предусмотренных настоящими Правилами.</w:t>
            </w:r>
          </w:p>
        </w:tc>
        <w:tc>
          <w:tcPr>
            <w:tcW w:w="3431" w:type="dxa"/>
          </w:tcPr>
          <w:p w14:paraId="1362B6A8" w14:textId="77777777" w:rsidR="00FD1AAD" w:rsidRPr="00246D4D" w:rsidRDefault="00DF4E4C" w:rsidP="00DF4E4C">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lastRenderedPageBreak/>
              <w:t xml:space="preserve">По предложению АНК, в целях уточнения, что порядок камерального контроля и меры, особенности которых не указаны в Правилах, регламентированы действующим законодательством </w:t>
            </w:r>
            <w:r w:rsidRPr="00246D4D">
              <w:rPr>
                <w:rFonts w:ascii="Times New Roman" w:eastAsia="Times New Roman" w:hAnsi="Times New Roman" w:cs="Times New Roman"/>
                <w:color w:val="000000"/>
                <w:sz w:val="28"/>
                <w:szCs w:val="28"/>
                <w:bdr w:val="none" w:sz="0" w:space="0" w:color="auto" w:frame="1"/>
              </w:rPr>
              <w:lastRenderedPageBreak/>
              <w:t>(включая порядок обжалования, способов представления пояснений и т.д.)</w:t>
            </w:r>
          </w:p>
        </w:tc>
      </w:tr>
      <w:tr w:rsidR="00FD1AAD" w:rsidRPr="00085660" w14:paraId="487CF837" w14:textId="77777777" w:rsidTr="006A410B">
        <w:tc>
          <w:tcPr>
            <w:tcW w:w="534" w:type="dxa"/>
          </w:tcPr>
          <w:p w14:paraId="7CB373DB" w14:textId="77777777" w:rsidR="00FD1AAD" w:rsidRPr="00246D4D" w:rsidRDefault="00676249" w:rsidP="006A410B">
            <w:pPr>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8</w:t>
            </w:r>
          </w:p>
        </w:tc>
        <w:tc>
          <w:tcPr>
            <w:tcW w:w="1905" w:type="dxa"/>
          </w:tcPr>
          <w:p w14:paraId="0B70A0B5" w14:textId="77777777" w:rsidR="00FD1AAD" w:rsidRPr="00246D4D" w:rsidRDefault="00757291" w:rsidP="007E206F">
            <w:pPr>
              <w:pStyle w:val="a6"/>
              <w:rPr>
                <w:rFonts w:ascii="Times New Roman" w:eastAsia="Times New Roman" w:hAnsi="Times New Roman" w:cs="Times New Roman"/>
                <w:bCs/>
                <w:color w:val="000000"/>
                <w:sz w:val="28"/>
                <w:szCs w:val="28"/>
                <w:bdr w:val="none" w:sz="0" w:space="0" w:color="auto" w:frame="1"/>
              </w:rPr>
            </w:pPr>
            <w:r w:rsidRPr="00246D4D">
              <w:rPr>
                <w:rFonts w:ascii="Times New Roman" w:eastAsia="Times New Roman" w:hAnsi="Times New Roman" w:cs="Times New Roman"/>
                <w:bCs/>
                <w:color w:val="000000"/>
                <w:sz w:val="28"/>
                <w:szCs w:val="28"/>
                <w:bdr w:val="none" w:sz="0" w:space="0" w:color="auto" w:frame="1"/>
              </w:rPr>
              <w:t>пункт 18</w:t>
            </w:r>
          </w:p>
        </w:tc>
        <w:tc>
          <w:tcPr>
            <w:tcW w:w="4933" w:type="dxa"/>
          </w:tcPr>
          <w:p w14:paraId="7AD1F4E0" w14:textId="77777777" w:rsidR="00FD1AAD" w:rsidRPr="00676249" w:rsidRDefault="00757291" w:rsidP="00F76B44">
            <w:pPr>
              <w:ind w:firstLine="709"/>
              <w:jc w:val="both"/>
              <w:rPr>
                <w:rFonts w:ascii="Times New Roman" w:eastAsia="Times New Roman" w:hAnsi="Times New Roman" w:cs="Times New Roman"/>
                <w:b/>
                <w:sz w:val="28"/>
                <w:szCs w:val="28"/>
              </w:rPr>
            </w:pPr>
            <w:r w:rsidRPr="00676249">
              <w:rPr>
                <w:rFonts w:ascii="Times New Roman" w:eastAsia="Times New Roman" w:hAnsi="Times New Roman" w:cs="Times New Roman"/>
                <w:b/>
                <w:sz w:val="28"/>
                <w:szCs w:val="28"/>
              </w:rPr>
              <w:t>Отсутствует</w:t>
            </w:r>
          </w:p>
        </w:tc>
        <w:tc>
          <w:tcPr>
            <w:tcW w:w="4536" w:type="dxa"/>
          </w:tcPr>
          <w:p w14:paraId="63AC2D42" w14:textId="77777777" w:rsidR="00FD1AAD" w:rsidRPr="00246D4D" w:rsidRDefault="00FD1AAD" w:rsidP="00F76B44">
            <w:pPr>
              <w:ind w:firstLine="709"/>
              <w:jc w:val="both"/>
              <w:rPr>
                <w:rFonts w:ascii="Times New Roman" w:eastAsia="Times New Roman" w:hAnsi="Times New Roman"/>
                <w:bCs/>
                <w:color w:val="000000"/>
                <w:sz w:val="28"/>
                <w:szCs w:val="28"/>
                <w:bdr w:val="none" w:sz="0" w:space="0" w:color="auto" w:frame="1"/>
              </w:rPr>
            </w:pPr>
            <w:r w:rsidRPr="00246D4D">
              <w:rPr>
                <w:rFonts w:ascii="Times New Roman" w:eastAsia="Times New Roman" w:hAnsi="Times New Roman"/>
                <w:bCs/>
                <w:color w:val="000000"/>
                <w:sz w:val="28"/>
                <w:szCs w:val="28"/>
                <w:bdr w:val="none" w:sz="0" w:space="0" w:color="auto" w:frame="1"/>
              </w:rPr>
              <w:t>18. В случае исполнения уведомления одним из способов, установленных пунктом 9 настоящих Правил, по налогоплательщику снимается степень риска, присвоенная в рамках пилотного проекта.</w:t>
            </w:r>
          </w:p>
        </w:tc>
        <w:tc>
          <w:tcPr>
            <w:tcW w:w="3431" w:type="dxa"/>
          </w:tcPr>
          <w:p w14:paraId="5F512ECB" w14:textId="77777777" w:rsidR="00FD1AAD" w:rsidRPr="00246D4D" w:rsidRDefault="00DF4E4C" w:rsidP="00DF4E4C">
            <w:pPr>
              <w:jc w:val="both"/>
              <w:rPr>
                <w:rFonts w:ascii="Times New Roman" w:eastAsia="Times New Roman" w:hAnsi="Times New Roman" w:cs="Times New Roman"/>
                <w:color w:val="000000"/>
                <w:sz w:val="28"/>
                <w:szCs w:val="28"/>
                <w:bdr w:val="none" w:sz="0" w:space="0" w:color="auto" w:frame="1"/>
              </w:rPr>
            </w:pPr>
            <w:r w:rsidRPr="00246D4D">
              <w:rPr>
                <w:rFonts w:ascii="Times New Roman" w:eastAsia="Times New Roman" w:hAnsi="Times New Roman" w:cs="Times New Roman"/>
                <w:color w:val="000000"/>
                <w:sz w:val="28"/>
                <w:szCs w:val="28"/>
                <w:bdr w:val="none" w:sz="0" w:space="0" w:color="auto" w:frame="1"/>
              </w:rPr>
              <w:t xml:space="preserve">По предложению АНК, в целях уточнения применения системы управления рисками в рамках данных Правил. </w:t>
            </w:r>
          </w:p>
        </w:tc>
      </w:tr>
    </w:tbl>
    <w:p w14:paraId="7D4B20FB" w14:textId="77777777" w:rsidR="00085660" w:rsidRDefault="00085660" w:rsidP="00A06BF1">
      <w:pPr>
        <w:pStyle w:val="a6"/>
        <w:jc w:val="center"/>
        <w:rPr>
          <w:rFonts w:ascii="Times New Roman" w:hAnsi="Times New Roman"/>
          <w:b/>
          <w:sz w:val="28"/>
          <w:szCs w:val="28"/>
          <w:lang w:val="kk-KZ"/>
        </w:rPr>
      </w:pPr>
    </w:p>
    <w:p w14:paraId="463D3691" w14:textId="77777777" w:rsidR="00FB2B90" w:rsidRDefault="00FB2B90" w:rsidP="00A06BF1">
      <w:pPr>
        <w:pStyle w:val="a6"/>
        <w:jc w:val="center"/>
        <w:rPr>
          <w:rFonts w:ascii="Times New Roman" w:eastAsia="Times New Roman" w:hAnsi="Times New Roman" w:cs="Times New Roman"/>
          <w:color w:val="000000"/>
          <w:sz w:val="28"/>
          <w:szCs w:val="28"/>
          <w:lang w:val="kk-KZ"/>
        </w:rPr>
      </w:pPr>
    </w:p>
    <w:p w14:paraId="35633C68" w14:textId="77777777" w:rsidR="006C22A6" w:rsidRDefault="006C22A6" w:rsidP="00A06BF1">
      <w:pPr>
        <w:pStyle w:val="a6"/>
        <w:jc w:val="center"/>
        <w:rPr>
          <w:rFonts w:ascii="Times New Roman" w:eastAsia="Times New Roman" w:hAnsi="Times New Roman" w:cs="Times New Roman"/>
          <w:color w:val="000000"/>
          <w:sz w:val="28"/>
          <w:szCs w:val="28"/>
          <w:lang w:val="kk-KZ"/>
        </w:rPr>
      </w:pPr>
    </w:p>
    <w:p w14:paraId="3B11328E" w14:textId="77777777" w:rsidR="006C22A6" w:rsidRDefault="006C22A6" w:rsidP="00A06BF1">
      <w:pPr>
        <w:pStyle w:val="a6"/>
        <w:jc w:val="center"/>
        <w:rPr>
          <w:rFonts w:ascii="Times New Roman" w:eastAsia="Times New Roman" w:hAnsi="Times New Roman" w:cs="Times New Roman"/>
          <w:color w:val="000000"/>
          <w:sz w:val="28"/>
          <w:szCs w:val="28"/>
          <w:lang w:val="kk-KZ"/>
        </w:rPr>
      </w:pPr>
    </w:p>
    <w:p w14:paraId="1DCD4416" w14:textId="77777777" w:rsidR="006C22A6" w:rsidRDefault="006C22A6" w:rsidP="00A06BF1">
      <w:pPr>
        <w:pStyle w:val="a6"/>
        <w:jc w:val="center"/>
        <w:rPr>
          <w:rFonts w:ascii="Times New Roman" w:hAnsi="Times New Roman"/>
          <w:b/>
          <w:sz w:val="28"/>
          <w:szCs w:val="28"/>
          <w:lang w:val="kk-KZ"/>
        </w:rPr>
      </w:pPr>
    </w:p>
    <w:p w14:paraId="66B9B2F1" w14:textId="77777777" w:rsidR="00FB2B90" w:rsidRDefault="00FB2B90" w:rsidP="00A06BF1">
      <w:pPr>
        <w:pStyle w:val="a6"/>
        <w:jc w:val="center"/>
        <w:rPr>
          <w:rFonts w:ascii="Times New Roman" w:hAnsi="Times New Roman"/>
          <w:b/>
          <w:sz w:val="28"/>
          <w:szCs w:val="28"/>
          <w:lang w:val="kk-KZ"/>
        </w:rPr>
      </w:pPr>
    </w:p>
    <w:p w14:paraId="7D12B52B" w14:textId="77777777" w:rsidR="00FB2B90" w:rsidRDefault="00FB2B90" w:rsidP="00A06BF1">
      <w:pPr>
        <w:pStyle w:val="a6"/>
        <w:jc w:val="center"/>
        <w:rPr>
          <w:rFonts w:ascii="Times New Roman" w:hAnsi="Times New Roman"/>
          <w:b/>
          <w:sz w:val="28"/>
          <w:szCs w:val="28"/>
          <w:lang w:val="kk-KZ"/>
        </w:rPr>
      </w:pPr>
    </w:p>
    <w:p w14:paraId="51BD28DB" w14:textId="77777777" w:rsidR="00FB2B90" w:rsidRDefault="00FB2B90" w:rsidP="00A06BF1">
      <w:pPr>
        <w:pStyle w:val="a6"/>
        <w:jc w:val="center"/>
        <w:rPr>
          <w:rFonts w:ascii="Times New Roman" w:hAnsi="Times New Roman"/>
          <w:b/>
          <w:sz w:val="28"/>
          <w:szCs w:val="28"/>
          <w:lang w:val="kk-KZ"/>
        </w:rPr>
      </w:pPr>
    </w:p>
    <w:p w14:paraId="60D54BAC" w14:textId="77777777" w:rsidR="00FB2B90" w:rsidRDefault="00FB2B90" w:rsidP="00A06BF1">
      <w:pPr>
        <w:pStyle w:val="a6"/>
        <w:jc w:val="center"/>
        <w:rPr>
          <w:rFonts w:ascii="Times New Roman" w:hAnsi="Times New Roman"/>
          <w:b/>
          <w:sz w:val="28"/>
          <w:szCs w:val="28"/>
          <w:lang w:val="kk-KZ"/>
        </w:rPr>
      </w:pPr>
    </w:p>
    <w:p w14:paraId="71C4F7D2" w14:textId="77777777" w:rsidR="00FB2B90" w:rsidRDefault="00FB2B90" w:rsidP="000132CB">
      <w:pPr>
        <w:pStyle w:val="a6"/>
        <w:rPr>
          <w:rFonts w:ascii="Times New Roman" w:hAnsi="Times New Roman"/>
          <w:b/>
          <w:sz w:val="28"/>
          <w:szCs w:val="28"/>
          <w:lang w:val="kk-KZ"/>
        </w:rPr>
      </w:pPr>
    </w:p>
    <w:sectPr w:rsidR="00FB2B90" w:rsidSect="00212141">
      <w:headerReference w:type="even" r:id="rId8"/>
      <w:headerReference w:type="default" r:id="rId9"/>
      <w:pgSz w:w="16838" w:h="11906" w:orient="landscape"/>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4490" w14:textId="77777777" w:rsidR="00DF2CCF" w:rsidRDefault="00DF2CCF" w:rsidP="000132CB">
      <w:pPr>
        <w:spacing w:after="0" w:line="240" w:lineRule="auto"/>
      </w:pPr>
      <w:r>
        <w:separator/>
      </w:r>
    </w:p>
  </w:endnote>
  <w:endnote w:type="continuationSeparator" w:id="0">
    <w:p w14:paraId="7D032D55" w14:textId="77777777" w:rsidR="00DF2CCF" w:rsidRDefault="00DF2CCF" w:rsidP="0001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B4CE" w14:textId="77777777" w:rsidR="00DF2CCF" w:rsidRDefault="00DF2CCF" w:rsidP="000132CB">
      <w:pPr>
        <w:spacing w:after="0" w:line="240" w:lineRule="auto"/>
      </w:pPr>
      <w:r>
        <w:separator/>
      </w:r>
    </w:p>
  </w:footnote>
  <w:footnote w:type="continuationSeparator" w:id="0">
    <w:p w14:paraId="25FDDF24" w14:textId="77777777" w:rsidR="00DF2CCF" w:rsidRDefault="00DF2CCF" w:rsidP="0001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042431"/>
      <w:docPartObj>
        <w:docPartGallery w:val="Page Numbers (Top of Page)"/>
        <w:docPartUnique/>
      </w:docPartObj>
    </w:sdtPr>
    <w:sdtEndPr/>
    <w:sdtContent>
      <w:p w14:paraId="511424FE" w14:textId="77777777" w:rsidR="00212141" w:rsidRDefault="00212141">
        <w:pPr>
          <w:pStyle w:val="ae"/>
          <w:jc w:val="center"/>
        </w:pPr>
        <w:r>
          <w:fldChar w:fldCharType="begin"/>
        </w:r>
        <w:r>
          <w:instrText>PAGE   \* MERGEFORMAT</w:instrText>
        </w:r>
        <w:r>
          <w:fldChar w:fldCharType="separate"/>
        </w:r>
        <w:r>
          <w:rPr>
            <w:noProof/>
          </w:rPr>
          <w:t>2</w:t>
        </w:r>
        <w:r>
          <w:fldChar w:fldCharType="end"/>
        </w:r>
      </w:p>
    </w:sdtContent>
  </w:sdt>
  <w:p w14:paraId="0CDBF26D" w14:textId="77777777" w:rsidR="00212141" w:rsidRPr="00212141" w:rsidRDefault="00212141" w:rsidP="00212141">
    <w:pPr>
      <w:pStyle w:val="ae"/>
      <w:jc w:val="center"/>
      <w:rPr>
        <w:rFonts w:ascii="Times New Roman" w:hAnsi="Times New Roman" w:cs="Times New Roman"/>
        <w:sz w:val="28"/>
        <w:szCs w:val="28"/>
        <w:lang w:val="kk-K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48866"/>
      <w:docPartObj>
        <w:docPartGallery w:val="Page Numbers (Top of Page)"/>
        <w:docPartUnique/>
      </w:docPartObj>
    </w:sdtPr>
    <w:sdtEndPr>
      <w:rPr>
        <w:rFonts w:ascii="Times New Roman" w:hAnsi="Times New Roman" w:cs="Times New Roman"/>
        <w:sz w:val="28"/>
      </w:rPr>
    </w:sdtEndPr>
    <w:sdtContent>
      <w:p w14:paraId="4EE4F3B3" w14:textId="77777777" w:rsidR="00212141" w:rsidRPr="00212141" w:rsidRDefault="00212141">
        <w:pPr>
          <w:pStyle w:val="ae"/>
          <w:jc w:val="center"/>
          <w:rPr>
            <w:rFonts w:ascii="Times New Roman" w:hAnsi="Times New Roman" w:cs="Times New Roman"/>
            <w:sz w:val="28"/>
          </w:rPr>
        </w:pPr>
        <w:r w:rsidRPr="00212141">
          <w:rPr>
            <w:rFonts w:ascii="Times New Roman" w:hAnsi="Times New Roman" w:cs="Times New Roman"/>
            <w:sz w:val="28"/>
          </w:rPr>
          <w:fldChar w:fldCharType="begin"/>
        </w:r>
        <w:r w:rsidRPr="00212141">
          <w:rPr>
            <w:rFonts w:ascii="Times New Roman" w:hAnsi="Times New Roman" w:cs="Times New Roman"/>
            <w:sz w:val="28"/>
          </w:rPr>
          <w:instrText>PAGE   \* MERGEFORMAT</w:instrText>
        </w:r>
        <w:r w:rsidRPr="00212141">
          <w:rPr>
            <w:rFonts w:ascii="Times New Roman" w:hAnsi="Times New Roman" w:cs="Times New Roman"/>
            <w:sz w:val="28"/>
          </w:rPr>
          <w:fldChar w:fldCharType="separate"/>
        </w:r>
        <w:r>
          <w:rPr>
            <w:rFonts w:ascii="Times New Roman" w:hAnsi="Times New Roman" w:cs="Times New Roman"/>
            <w:noProof/>
            <w:sz w:val="28"/>
          </w:rPr>
          <w:t>5</w:t>
        </w:r>
        <w:r w:rsidRPr="00212141">
          <w:rPr>
            <w:rFonts w:ascii="Times New Roman" w:hAnsi="Times New Roman" w:cs="Times New Roman"/>
            <w:sz w:val="28"/>
          </w:rPr>
          <w:fldChar w:fldCharType="end"/>
        </w:r>
      </w:p>
    </w:sdtContent>
  </w:sdt>
  <w:p w14:paraId="4065FA9C" w14:textId="77777777" w:rsidR="000132CB" w:rsidRPr="00212141" w:rsidRDefault="000132CB" w:rsidP="00212141">
    <w:pPr>
      <w:pStyle w:val="ae"/>
      <w:tabs>
        <w:tab w:val="left" w:pos="6990"/>
        <w:tab w:val="center" w:pos="7228"/>
      </w:tabs>
      <w:rPr>
        <w:rFonts w:ascii="Times New Roman" w:hAnsi="Times New Roman" w:cs="Times New Roman"/>
        <w:sz w:val="28"/>
        <w:szCs w:val="28"/>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B58"/>
    <w:multiLevelType w:val="hybridMultilevel"/>
    <w:tmpl w:val="C3180318"/>
    <w:lvl w:ilvl="0" w:tplc="0508432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3608B"/>
    <w:multiLevelType w:val="hybridMultilevel"/>
    <w:tmpl w:val="8F0C4F56"/>
    <w:lvl w:ilvl="0" w:tplc="FA926B3E">
      <w:start w:val="1"/>
      <w:numFmt w:val="decimal"/>
      <w:suff w:val="space"/>
      <w:lvlText w:val="%1."/>
      <w:lvlJc w:val="left"/>
      <w:pPr>
        <w:ind w:left="1220"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C6D70E4"/>
    <w:multiLevelType w:val="hybridMultilevel"/>
    <w:tmpl w:val="25CA3128"/>
    <w:lvl w:ilvl="0" w:tplc="4B0A4486">
      <w:start w:val="1"/>
      <w:numFmt w:val="decimal"/>
      <w:suff w:val="space"/>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 w15:restartNumberingAfterBreak="0">
    <w:nsid w:val="153B3D42"/>
    <w:multiLevelType w:val="hybridMultilevel"/>
    <w:tmpl w:val="9D58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90806"/>
    <w:multiLevelType w:val="hybridMultilevel"/>
    <w:tmpl w:val="1898F0C8"/>
    <w:lvl w:ilvl="0" w:tplc="6F6A9914">
      <w:start w:val="1"/>
      <w:numFmt w:val="decimal"/>
      <w:lvlText w:val="%1)"/>
      <w:lvlJc w:val="left"/>
      <w:pPr>
        <w:ind w:left="1656"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63080A"/>
    <w:multiLevelType w:val="hybridMultilevel"/>
    <w:tmpl w:val="9F04F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7F7DE0"/>
    <w:multiLevelType w:val="hybridMultilevel"/>
    <w:tmpl w:val="25CA3128"/>
    <w:lvl w:ilvl="0" w:tplc="4B0A4486">
      <w:start w:val="1"/>
      <w:numFmt w:val="decimal"/>
      <w:suff w:val="space"/>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7" w15:restartNumberingAfterBreak="0">
    <w:nsid w:val="2EB34833"/>
    <w:multiLevelType w:val="hybridMultilevel"/>
    <w:tmpl w:val="390AC102"/>
    <w:lvl w:ilvl="0" w:tplc="C3D8DD3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1B2C2E"/>
    <w:multiLevelType w:val="hybridMultilevel"/>
    <w:tmpl w:val="A652049E"/>
    <w:lvl w:ilvl="0" w:tplc="1010A8E4">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5658AC"/>
    <w:multiLevelType w:val="hybridMultilevel"/>
    <w:tmpl w:val="8F88FDB4"/>
    <w:lvl w:ilvl="0" w:tplc="1C8CAD72">
      <w:start w:val="1"/>
      <w:numFmt w:val="decimal"/>
      <w:suff w:val="space"/>
      <w:lvlText w:val="%1)"/>
      <w:lvlJc w:val="left"/>
      <w:pPr>
        <w:ind w:left="115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450899"/>
    <w:multiLevelType w:val="hybridMultilevel"/>
    <w:tmpl w:val="8BDACBFC"/>
    <w:lvl w:ilvl="0" w:tplc="D94A77F6">
      <w:start w:val="8"/>
      <w:numFmt w:val="decimal"/>
      <w:suff w:val="space"/>
      <w:lvlText w:val="%1."/>
      <w:lvlJc w:val="left"/>
      <w:pPr>
        <w:ind w:left="21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C7721"/>
    <w:multiLevelType w:val="hybridMultilevel"/>
    <w:tmpl w:val="6444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637A4"/>
    <w:multiLevelType w:val="hybridMultilevel"/>
    <w:tmpl w:val="9F04F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7E59AD"/>
    <w:multiLevelType w:val="hybridMultilevel"/>
    <w:tmpl w:val="8BDACBFC"/>
    <w:lvl w:ilvl="0" w:tplc="D94A77F6">
      <w:start w:val="8"/>
      <w:numFmt w:val="decimal"/>
      <w:suff w:val="space"/>
      <w:lvlText w:val="%1."/>
      <w:lvlJc w:val="left"/>
      <w:pPr>
        <w:ind w:left="21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7"/>
  </w:num>
  <w:num w:numId="5">
    <w:abstractNumId w:val="0"/>
  </w:num>
  <w:num w:numId="6">
    <w:abstractNumId w:val="1"/>
  </w:num>
  <w:num w:numId="7">
    <w:abstractNumId w:val="11"/>
  </w:num>
  <w:num w:numId="8">
    <w:abstractNumId w:val="2"/>
  </w:num>
  <w:num w:numId="9">
    <w:abstractNumId w:val="6"/>
  </w:num>
  <w:num w:numId="10">
    <w:abstractNumId w:val="12"/>
  </w:num>
  <w:num w:numId="11">
    <w:abstractNumId w:val="10"/>
  </w:num>
  <w:num w:numId="12">
    <w:abstractNumId w:val="5"/>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24"/>
    <w:rsid w:val="000132CB"/>
    <w:rsid w:val="00043AD7"/>
    <w:rsid w:val="0004744F"/>
    <w:rsid w:val="00057AB2"/>
    <w:rsid w:val="00081FE0"/>
    <w:rsid w:val="00082CBB"/>
    <w:rsid w:val="00085660"/>
    <w:rsid w:val="000A3C96"/>
    <w:rsid w:val="000C3BFD"/>
    <w:rsid w:val="000D7C19"/>
    <w:rsid w:val="000E7336"/>
    <w:rsid w:val="000F1A60"/>
    <w:rsid w:val="000F2515"/>
    <w:rsid w:val="00101506"/>
    <w:rsid w:val="00114C28"/>
    <w:rsid w:val="00122C9B"/>
    <w:rsid w:val="00126798"/>
    <w:rsid w:val="00154B4E"/>
    <w:rsid w:val="001669F5"/>
    <w:rsid w:val="001B4F27"/>
    <w:rsid w:val="001D28B1"/>
    <w:rsid w:val="001F4714"/>
    <w:rsid w:val="002004FB"/>
    <w:rsid w:val="0020152F"/>
    <w:rsid w:val="00211073"/>
    <w:rsid w:val="00212141"/>
    <w:rsid w:val="00216031"/>
    <w:rsid w:val="00223AC3"/>
    <w:rsid w:val="002367F9"/>
    <w:rsid w:val="00246D4D"/>
    <w:rsid w:val="0025557B"/>
    <w:rsid w:val="00255F17"/>
    <w:rsid w:val="00257E79"/>
    <w:rsid w:val="0027080E"/>
    <w:rsid w:val="0027694F"/>
    <w:rsid w:val="002A63F9"/>
    <w:rsid w:val="00304F31"/>
    <w:rsid w:val="00326143"/>
    <w:rsid w:val="00334C86"/>
    <w:rsid w:val="003435FE"/>
    <w:rsid w:val="00350514"/>
    <w:rsid w:val="003565A1"/>
    <w:rsid w:val="003E7293"/>
    <w:rsid w:val="003F1E1E"/>
    <w:rsid w:val="00415B5B"/>
    <w:rsid w:val="00424F2B"/>
    <w:rsid w:val="00455B0D"/>
    <w:rsid w:val="00456319"/>
    <w:rsid w:val="00462077"/>
    <w:rsid w:val="004A3194"/>
    <w:rsid w:val="004C5B2F"/>
    <w:rsid w:val="004E3D85"/>
    <w:rsid w:val="00501042"/>
    <w:rsid w:val="0054220F"/>
    <w:rsid w:val="00550B84"/>
    <w:rsid w:val="005863EE"/>
    <w:rsid w:val="005A2485"/>
    <w:rsid w:val="005A469F"/>
    <w:rsid w:val="005B055B"/>
    <w:rsid w:val="005C6186"/>
    <w:rsid w:val="005E0D40"/>
    <w:rsid w:val="005F0820"/>
    <w:rsid w:val="00622ACE"/>
    <w:rsid w:val="0063298F"/>
    <w:rsid w:val="00633C26"/>
    <w:rsid w:val="00643656"/>
    <w:rsid w:val="00676249"/>
    <w:rsid w:val="006A410B"/>
    <w:rsid w:val="006A5508"/>
    <w:rsid w:val="006B6673"/>
    <w:rsid w:val="006C22A6"/>
    <w:rsid w:val="006D631B"/>
    <w:rsid w:val="006E37FC"/>
    <w:rsid w:val="006E4B61"/>
    <w:rsid w:val="0071161C"/>
    <w:rsid w:val="00715E5F"/>
    <w:rsid w:val="0071647B"/>
    <w:rsid w:val="00720125"/>
    <w:rsid w:val="00722EE5"/>
    <w:rsid w:val="0072398C"/>
    <w:rsid w:val="00734EFA"/>
    <w:rsid w:val="007422D8"/>
    <w:rsid w:val="00754FAB"/>
    <w:rsid w:val="00757291"/>
    <w:rsid w:val="007A051A"/>
    <w:rsid w:val="007B5554"/>
    <w:rsid w:val="007D6114"/>
    <w:rsid w:val="007E206F"/>
    <w:rsid w:val="0081634B"/>
    <w:rsid w:val="008369F9"/>
    <w:rsid w:val="008449C2"/>
    <w:rsid w:val="008553F0"/>
    <w:rsid w:val="00884A96"/>
    <w:rsid w:val="008957BF"/>
    <w:rsid w:val="008B4BC8"/>
    <w:rsid w:val="009004CB"/>
    <w:rsid w:val="00901185"/>
    <w:rsid w:val="00904DF7"/>
    <w:rsid w:val="00906CF6"/>
    <w:rsid w:val="009111BD"/>
    <w:rsid w:val="00925616"/>
    <w:rsid w:val="00942200"/>
    <w:rsid w:val="00965722"/>
    <w:rsid w:val="00972340"/>
    <w:rsid w:val="00972D2B"/>
    <w:rsid w:val="0097608C"/>
    <w:rsid w:val="0098226D"/>
    <w:rsid w:val="00995CA8"/>
    <w:rsid w:val="00997AC2"/>
    <w:rsid w:val="009B1AB9"/>
    <w:rsid w:val="009E09BA"/>
    <w:rsid w:val="00A06BF1"/>
    <w:rsid w:val="00A43D8A"/>
    <w:rsid w:val="00AA02D7"/>
    <w:rsid w:val="00AA68D9"/>
    <w:rsid w:val="00AC5619"/>
    <w:rsid w:val="00AC592A"/>
    <w:rsid w:val="00AE74D9"/>
    <w:rsid w:val="00B01CF4"/>
    <w:rsid w:val="00B064D1"/>
    <w:rsid w:val="00B3295D"/>
    <w:rsid w:val="00B424B6"/>
    <w:rsid w:val="00B55BF5"/>
    <w:rsid w:val="00B610C6"/>
    <w:rsid w:val="00B63867"/>
    <w:rsid w:val="00B70BE0"/>
    <w:rsid w:val="00B75C49"/>
    <w:rsid w:val="00B76223"/>
    <w:rsid w:val="00B87DC1"/>
    <w:rsid w:val="00BB0657"/>
    <w:rsid w:val="00BC083A"/>
    <w:rsid w:val="00BC19FC"/>
    <w:rsid w:val="00BC3D03"/>
    <w:rsid w:val="00BF0938"/>
    <w:rsid w:val="00C44193"/>
    <w:rsid w:val="00C5755A"/>
    <w:rsid w:val="00CA2179"/>
    <w:rsid w:val="00CA22AC"/>
    <w:rsid w:val="00CA2F11"/>
    <w:rsid w:val="00CB190C"/>
    <w:rsid w:val="00CD5169"/>
    <w:rsid w:val="00CD77F9"/>
    <w:rsid w:val="00D1141A"/>
    <w:rsid w:val="00D17EB0"/>
    <w:rsid w:val="00D43A5F"/>
    <w:rsid w:val="00D45E60"/>
    <w:rsid w:val="00D46237"/>
    <w:rsid w:val="00D77C24"/>
    <w:rsid w:val="00D851E2"/>
    <w:rsid w:val="00D93245"/>
    <w:rsid w:val="00DA36A2"/>
    <w:rsid w:val="00DA4092"/>
    <w:rsid w:val="00DA7D0C"/>
    <w:rsid w:val="00DB037A"/>
    <w:rsid w:val="00DB4899"/>
    <w:rsid w:val="00DC1239"/>
    <w:rsid w:val="00DC22E7"/>
    <w:rsid w:val="00DF10EB"/>
    <w:rsid w:val="00DF2CCF"/>
    <w:rsid w:val="00DF4E4C"/>
    <w:rsid w:val="00E26A61"/>
    <w:rsid w:val="00E5040F"/>
    <w:rsid w:val="00E61B55"/>
    <w:rsid w:val="00E74E53"/>
    <w:rsid w:val="00E80145"/>
    <w:rsid w:val="00ED0015"/>
    <w:rsid w:val="00EE64F7"/>
    <w:rsid w:val="00EE6CF7"/>
    <w:rsid w:val="00EF2F4C"/>
    <w:rsid w:val="00F02061"/>
    <w:rsid w:val="00F11177"/>
    <w:rsid w:val="00F25E95"/>
    <w:rsid w:val="00F40349"/>
    <w:rsid w:val="00F61377"/>
    <w:rsid w:val="00F62B1A"/>
    <w:rsid w:val="00F63C52"/>
    <w:rsid w:val="00F664E7"/>
    <w:rsid w:val="00F74ED2"/>
    <w:rsid w:val="00F76B44"/>
    <w:rsid w:val="00F93691"/>
    <w:rsid w:val="00FA603B"/>
    <w:rsid w:val="00FB2B90"/>
    <w:rsid w:val="00FD1AAD"/>
    <w:rsid w:val="00FD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7026"/>
  <w15:docId w15:val="{0ACBDD28-EFA4-4857-B4DB-A5524565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C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3435FE"/>
    <w:pPr>
      <w:ind w:left="720"/>
      <w:contextualSpacing/>
    </w:pPr>
  </w:style>
  <w:style w:type="paragraph" w:styleId="a6">
    <w:name w:val="No Spacing"/>
    <w:link w:val="a7"/>
    <w:uiPriority w:val="1"/>
    <w:qFormat/>
    <w:rsid w:val="003435FE"/>
    <w:pPr>
      <w:spacing w:after="0" w:line="240" w:lineRule="auto"/>
    </w:pPr>
  </w:style>
  <w:style w:type="character" w:customStyle="1" w:styleId="s0">
    <w:name w:val="s0"/>
    <w:basedOn w:val="a0"/>
    <w:rsid w:val="0097608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5">
    <w:name w:val="Абзац списка Знак"/>
    <w:link w:val="a4"/>
    <w:uiPriority w:val="34"/>
    <w:locked/>
    <w:rsid w:val="00CD77F9"/>
  </w:style>
  <w:style w:type="paragraph" w:styleId="a8">
    <w:name w:val="Plain Text"/>
    <w:basedOn w:val="a"/>
    <w:link w:val="a9"/>
    <w:uiPriority w:val="99"/>
    <w:unhideWhenUsed/>
    <w:rsid w:val="00ED0015"/>
    <w:pPr>
      <w:spacing w:after="0" w:line="240" w:lineRule="auto"/>
    </w:pPr>
    <w:rPr>
      <w:rFonts w:ascii="Calibri" w:hAnsi="Calibri"/>
      <w:szCs w:val="21"/>
    </w:rPr>
  </w:style>
  <w:style w:type="character" w:customStyle="1" w:styleId="a9">
    <w:name w:val="Текст Знак"/>
    <w:basedOn w:val="a0"/>
    <w:link w:val="a8"/>
    <w:uiPriority w:val="99"/>
    <w:rsid w:val="00ED0015"/>
    <w:rPr>
      <w:rFonts w:ascii="Calibri" w:hAnsi="Calibri"/>
      <w:szCs w:val="21"/>
    </w:rPr>
  </w:style>
  <w:style w:type="paragraph" w:customStyle="1" w:styleId="Default">
    <w:name w:val="Default"/>
    <w:rsid w:val="00997AC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b"/>
    <w:uiPriority w:val="99"/>
    <w:unhideWhenUsed/>
    <w:qFormat/>
    <w:rsid w:val="00A06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1"/>
    <w:link w:val="aa"/>
    <w:uiPriority w:val="99"/>
    <w:locked/>
    <w:rsid w:val="00A06BF1"/>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A06BF1"/>
  </w:style>
  <w:style w:type="paragraph" w:styleId="ac">
    <w:name w:val="Balloon Text"/>
    <w:basedOn w:val="a"/>
    <w:link w:val="ad"/>
    <w:uiPriority w:val="99"/>
    <w:semiHidden/>
    <w:unhideWhenUsed/>
    <w:rsid w:val="00B75C4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5C49"/>
    <w:rPr>
      <w:rFonts w:ascii="Segoe UI" w:hAnsi="Segoe UI" w:cs="Segoe UI"/>
      <w:sz w:val="18"/>
      <w:szCs w:val="18"/>
    </w:rPr>
  </w:style>
  <w:style w:type="paragraph" w:styleId="ae">
    <w:name w:val="header"/>
    <w:basedOn w:val="a"/>
    <w:link w:val="af"/>
    <w:uiPriority w:val="99"/>
    <w:unhideWhenUsed/>
    <w:rsid w:val="000132CB"/>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0132CB"/>
  </w:style>
  <w:style w:type="paragraph" w:styleId="af0">
    <w:name w:val="footer"/>
    <w:basedOn w:val="a"/>
    <w:link w:val="af1"/>
    <w:uiPriority w:val="99"/>
    <w:unhideWhenUsed/>
    <w:rsid w:val="000132CB"/>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01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1669">
      <w:bodyDiv w:val="1"/>
      <w:marLeft w:val="0"/>
      <w:marRight w:val="0"/>
      <w:marTop w:val="0"/>
      <w:marBottom w:val="0"/>
      <w:divBdr>
        <w:top w:val="none" w:sz="0" w:space="0" w:color="auto"/>
        <w:left w:val="none" w:sz="0" w:space="0" w:color="auto"/>
        <w:bottom w:val="none" w:sz="0" w:space="0" w:color="auto"/>
        <w:right w:val="none" w:sz="0" w:space="0" w:color="auto"/>
      </w:divBdr>
    </w:div>
    <w:div w:id="452867777">
      <w:bodyDiv w:val="1"/>
      <w:marLeft w:val="0"/>
      <w:marRight w:val="0"/>
      <w:marTop w:val="0"/>
      <w:marBottom w:val="0"/>
      <w:divBdr>
        <w:top w:val="none" w:sz="0" w:space="0" w:color="auto"/>
        <w:left w:val="none" w:sz="0" w:space="0" w:color="auto"/>
        <w:bottom w:val="none" w:sz="0" w:space="0" w:color="auto"/>
        <w:right w:val="none" w:sz="0" w:space="0" w:color="auto"/>
      </w:divBdr>
    </w:div>
    <w:div w:id="589121501">
      <w:bodyDiv w:val="1"/>
      <w:marLeft w:val="0"/>
      <w:marRight w:val="0"/>
      <w:marTop w:val="0"/>
      <w:marBottom w:val="0"/>
      <w:divBdr>
        <w:top w:val="none" w:sz="0" w:space="0" w:color="auto"/>
        <w:left w:val="none" w:sz="0" w:space="0" w:color="auto"/>
        <w:bottom w:val="none" w:sz="0" w:space="0" w:color="auto"/>
        <w:right w:val="none" w:sz="0" w:space="0" w:color="auto"/>
      </w:divBdr>
    </w:div>
    <w:div w:id="590700951">
      <w:bodyDiv w:val="1"/>
      <w:marLeft w:val="0"/>
      <w:marRight w:val="0"/>
      <w:marTop w:val="0"/>
      <w:marBottom w:val="0"/>
      <w:divBdr>
        <w:top w:val="none" w:sz="0" w:space="0" w:color="auto"/>
        <w:left w:val="none" w:sz="0" w:space="0" w:color="auto"/>
        <w:bottom w:val="none" w:sz="0" w:space="0" w:color="auto"/>
        <w:right w:val="none" w:sz="0" w:space="0" w:color="auto"/>
      </w:divBdr>
    </w:div>
    <w:div w:id="1141465846">
      <w:bodyDiv w:val="1"/>
      <w:marLeft w:val="0"/>
      <w:marRight w:val="0"/>
      <w:marTop w:val="0"/>
      <w:marBottom w:val="0"/>
      <w:divBdr>
        <w:top w:val="none" w:sz="0" w:space="0" w:color="auto"/>
        <w:left w:val="none" w:sz="0" w:space="0" w:color="auto"/>
        <w:bottom w:val="none" w:sz="0" w:space="0" w:color="auto"/>
        <w:right w:val="none" w:sz="0" w:space="0" w:color="auto"/>
      </w:divBdr>
    </w:div>
    <w:div w:id="17188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rus/docs/V1100007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Элшатова Салта</cp:lastModifiedBy>
  <cp:revision>2</cp:revision>
  <cp:lastPrinted>2019-11-25T06:26:00Z</cp:lastPrinted>
  <dcterms:created xsi:type="dcterms:W3CDTF">2019-11-28T08:16:00Z</dcterms:created>
  <dcterms:modified xsi:type="dcterms:W3CDTF">2019-11-28T08:16:00Z</dcterms:modified>
</cp:coreProperties>
</file>