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7" w:rsidRPr="00B76130" w:rsidRDefault="00B76130">
      <w:pPr>
        <w:spacing w:after="0"/>
        <w:rPr>
          <w:lang w:val="ru-RU"/>
        </w:rPr>
      </w:pPr>
      <w:r w:rsidRPr="00B76130">
        <w:rPr>
          <w:b/>
          <w:color w:val="000000"/>
          <w:lang w:val="ru-RU"/>
        </w:rPr>
        <w:t>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</w:t>
      </w:r>
    </w:p>
    <w:p w:rsidR="00A80C37" w:rsidRPr="00B76130" w:rsidRDefault="00B76130">
      <w:pPr>
        <w:spacing w:after="0"/>
        <w:jc w:val="both"/>
        <w:rPr>
          <w:lang w:val="ru-RU"/>
        </w:rPr>
      </w:pPr>
      <w:r w:rsidRPr="00B76130">
        <w:rPr>
          <w:color w:val="000000"/>
          <w:lang w:val="ru-RU"/>
        </w:rPr>
        <w:t>Постановление Правительства Республики Казахстан от 18 января 2019 года № 4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0" w:name="z4"/>
      <w:r w:rsidRPr="00B76130">
        <w:rPr>
          <w:color w:val="FF0000"/>
        </w:rPr>
        <w:t>     </w:t>
      </w:r>
      <w:r w:rsidRPr="00B76130">
        <w:rPr>
          <w:color w:val="FF0000"/>
          <w:lang w:val="ru-RU"/>
        </w:rPr>
        <w:t xml:space="preserve"> Сноска. Вводится в действие со дня его первого официального опубликования, но не ранее 01.01.2019, и действует до 01.01.2024 в соответствии с пунктом 2 настоящего постановления.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" w:name="z5"/>
      <w:bookmarkEnd w:id="0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В соответствии с пунктом 4 статьи 775 Кодекса Республики Казахстан от </w:t>
      </w:r>
      <w:r w:rsidRPr="00B76130">
        <w:rPr>
          <w:color w:val="000000"/>
          <w:lang w:val="ru-RU"/>
        </w:rPr>
        <w:t>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" w:name="z6"/>
      <w:bookmarkEnd w:id="1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1. Утвердить прилагаемые Правила уплаты, распределения и перечисления единого совокупного платежа в виде инд</w:t>
      </w:r>
      <w:r w:rsidRPr="00B76130">
        <w:rPr>
          <w:color w:val="000000"/>
          <w:lang w:val="ru-RU"/>
        </w:rPr>
        <w:t>ивидуального подоходного налога и социальных платежей, а также их возврата.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" w:name="z7"/>
      <w:bookmarkEnd w:id="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2. Настоящее постановление вводится в действие со дня его первого официального опубликования, но не ранее 1 января 2019 года, и действует до 1 января 2024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0"/>
        <w:gridCol w:w="15"/>
        <w:gridCol w:w="3488"/>
        <w:gridCol w:w="284"/>
      </w:tblGrid>
      <w:tr w:rsidR="00A80C37" w:rsidRPr="00B7613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A80C37" w:rsidRPr="00B76130" w:rsidRDefault="00B76130">
            <w:pPr>
              <w:spacing w:after="0"/>
            </w:pPr>
            <w:r w:rsidRPr="00B76130">
              <w:rPr>
                <w:i/>
                <w:color w:val="000000"/>
              </w:rPr>
              <w:t>     </w:t>
            </w:r>
            <w:r w:rsidRPr="00B76130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B76130">
              <w:rPr>
                <w:i/>
                <w:color w:val="000000"/>
              </w:rPr>
              <w:t>Премьер</w:t>
            </w:r>
            <w:r w:rsidRPr="00B76130">
              <w:rPr>
                <w:i/>
                <w:color w:val="000000"/>
              </w:rPr>
              <w:t>-Министр</w:t>
            </w:r>
            <w:proofErr w:type="spellEnd"/>
            <w:r w:rsidRPr="00B76130">
              <w:br/>
            </w:r>
            <w:proofErr w:type="spellStart"/>
            <w:r w:rsidRPr="00B76130">
              <w:rPr>
                <w:i/>
                <w:color w:val="000000"/>
              </w:rPr>
              <w:t>Республики</w:t>
            </w:r>
            <w:proofErr w:type="spellEnd"/>
            <w:r w:rsidRPr="00B76130">
              <w:rPr>
                <w:i/>
                <w:color w:val="000000"/>
              </w:rPr>
              <w:t xml:space="preserve"> </w:t>
            </w:r>
            <w:proofErr w:type="spellStart"/>
            <w:r w:rsidRPr="00B76130">
              <w:rPr>
                <w:i/>
                <w:color w:val="000000"/>
              </w:rPr>
              <w:t>Казахстан</w:t>
            </w:r>
            <w:proofErr w:type="spellEnd"/>
            <w:r w:rsidRPr="00B76130">
              <w:rPr>
                <w:i/>
                <w:color w:val="00000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>
            <w:pPr>
              <w:spacing w:after="0"/>
            </w:pPr>
            <w:r w:rsidRPr="00B76130">
              <w:rPr>
                <w:i/>
                <w:color w:val="000000"/>
              </w:rPr>
              <w:t xml:space="preserve">Б. </w:t>
            </w:r>
            <w:proofErr w:type="spellStart"/>
            <w:r w:rsidRPr="00B76130">
              <w:rPr>
                <w:i/>
                <w:color w:val="000000"/>
              </w:rPr>
              <w:t>Сагинтаев</w:t>
            </w:r>
            <w:proofErr w:type="spellEnd"/>
          </w:p>
        </w:tc>
      </w:tr>
      <w:tr w:rsidR="00A80C37" w:rsidRPr="00B76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>
            <w:pPr>
              <w:spacing w:after="0"/>
              <w:jc w:val="center"/>
            </w:pPr>
            <w:r w:rsidRPr="00B76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>
            <w:pPr>
              <w:spacing w:after="0"/>
              <w:jc w:val="center"/>
              <w:rPr>
                <w:lang w:val="ru-RU"/>
              </w:rPr>
            </w:pPr>
            <w:r w:rsidRPr="00B76130">
              <w:rPr>
                <w:color w:val="000000"/>
                <w:lang w:val="ru-RU"/>
              </w:rPr>
              <w:t>Утверждены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постановлением Правительства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Республики Казахстан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от 18 января 2019 года № 4</w:t>
            </w:r>
          </w:p>
        </w:tc>
      </w:tr>
    </w:tbl>
    <w:p w:rsidR="00A80C37" w:rsidRPr="00B76130" w:rsidRDefault="00B76130">
      <w:pPr>
        <w:spacing w:after="0"/>
        <w:rPr>
          <w:lang w:val="ru-RU"/>
        </w:rPr>
      </w:pPr>
      <w:bookmarkStart w:id="4" w:name="z10"/>
      <w:r w:rsidRPr="00B76130">
        <w:rPr>
          <w:b/>
          <w:color w:val="000000"/>
          <w:lang w:val="ru-RU"/>
        </w:rPr>
        <w:t xml:space="preserve"> Правила уплаты, распределения и перечисления единого совокупного платежа в виде индивидуального подоходного налога и социальных платежей, а также их возврата</w:t>
      </w:r>
    </w:p>
    <w:p w:rsidR="00A80C37" w:rsidRPr="00B76130" w:rsidRDefault="00B76130">
      <w:pPr>
        <w:spacing w:after="0"/>
        <w:rPr>
          <w:lang w:val="ru-RU"/>
        </w:rPr>
      </w:pPr>
      <w:bookmarkStart w:id="5" w:name="z11"/>
      <w:bookmarkEnd w:id="4"/>
      <w:r w:rsidRPr="00B76130">
        <w:rPr>
          <w:b/>
          <w:color w:val="000000"/>
          <w:lang w:val="ru-RU"/>
        </w:rPr>
        <w:t xml:space="preserve"> Глава 1. Общие положения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" w:name="z12"/>
      <w:bookmarkEnd w:id="5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1. Настоящие Правила уплаты, распределения и перечисления единог</w:t>
      </w:r>
      <w:r w:rsidRPr="00B76130">
        <w:rPr>
          <w:color w:val="000000"/>
          <w:lang w:val="ru-RU"/>
        </w:rPr>
        <w:t>о совокупного платежа в виде индивидуального подоходного налога и социальных платежей, а также их возврата (далее – Правила) разработаны в соответствии с пунктом 4 статьи 775 Кодекса Республики Казахстан от 25 декабря 2017 года "О налогах и других обязател</w:t>
      </w:r>
      <w:r w:rsidRPr="00B76130">
        <w:rPr>
          <w:color w:val="000000"/>
          <w:lang w:val="ru-RU"/>
        </w:rPr>
        <w:t>ьных платежах в бюджет" (Налоговый кодекс) (далее – Кодекс) и определяют порядок уплаты, распределения и перечисления единого совокупного платежа в виде индивидуального подоходного налога и социальных платежей, а также их возврата.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7" w:name="z13"/>
      <w:bookmarkEnd w:id="6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2. В настоящих Пра</w:t>
      </w:r>
      <w:r w:rsidRPr="00B76130">
        <w:rPr>
          <w:color w:val="000000"/>
          <w:lang w:val="ru-RU"/>
        </w:rPr>
        <w:t>вилах используются следующие основные понятия: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8" w:name="z14"/>
      <w:bookmarkEnd w:id="7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1) социальные платежи – обязательные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</w:t>
      </w:r>
      <w:r w:rsidRPr="00B76130">
        <w:rPr>
          <w:color w:val="000000"/>
          <w:lang w:val="ru-RU"/>
        </w:rPr>
        <w:t>с Законом Республики Казахстан 25 апреля 2003 года "Об обязательном социальном страховании", отчисления на обязательное социальное медицинское страхование, уплачиваемые в соответствии с Законом Республики Казахстан от 16 ноября 2015 года "Об обязательном с</w:t>
      </w:r>
      <w:r w:rsidRPr="00B76130">
        <w:rPr>
          <w:color w:val="000000"/>
          <w:lang w:val="ru-RU"/>
        </w:rPr>
        <w:t>оциальном медицинском страховании";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9" w:name="z15"/>
      <w:bookmarkEnd w:id="8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2) Фонд социального медицинского страхования (далее – ФСМС) – 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</w:t>
      </w:r>
      <w:r w:rsidRPr="00B76130">
        <w:rPr>
          <w:color w:val="000000"/>
          <w:lang w:val="ru-RU"/>
        </w:rPr>
        <w:t xml:space="preserve">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 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0" w:name="z16"/>
      <w:bookmarkEnd w:id="9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3) Государственный фонд социального страхования (далее – ГФСС) – юридическое лицо,</w:t>
      </w:r>
      <w:r w:rsidRPr="00B76130">
        <w:rPr>
          <w:color w:val="000000"/>
          <w:lang w:val="ru-RU"/>
        </w:rPr>
        <w:t xml:space="preserve">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за которых производились социальные отчисления и в отношении которых наступил случай социального рис</w:t>
      </w:r>
      <w:r w:rsidRPr="00B76130">
        <w:rPr>
          <w:color w:val="000000"/>
          <w:lang w:val="ru-RU"/>
        </w:rPr>
        <w:t xml:space="preserve">ка, включая членов семьи - иждивенцев в случае потери кормильца; 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1" w:name="z17"/>
      <w:bookmarkEnd w:id="1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4)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2" w:name="z18"/>
      <w:bookmarkEnd w:id="11"/>
      <w:r w:rsidRPr="00B76130">
        <w:rPr>
          <w:color w:val="000000"/>
          <w:lang w:val="ru-RU"/>
        </w:rPr>
        <w:lastRenderedPageBreak/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5) плательщики ед</w:t>
      </w:r>
      <w:r w:rsidRPr="00B76130">
        <w:rPr>
          <w:color w:val="000000"/>
          <w:lang w:val="ru-RU"/>
        </w:rPr>
        <w:t>иного совокупного платежа (далее – плательщики) –физические лица, осуществляющие предпринимательскую деятельность без регистрации в качестве индивидуального предпринимателя, которые соответствуют требованиям, установленным статьей 774 Кодекса;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3" w:name="z19"/>
      <w:bookmarkEnd w:id="1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6) вед</w:t>
      </w:r>
      <w:r w:rsidRPr="00B76130">
        <w:rPr>
          <w:color w:val="000000"/>
          <w:lang w:val="ru-RU"/>
        </w:rPr>
        <w:t>омственная информационная система Комитета государственных доходов Министерства финансов Республики Казахстан (далее – ИС КГД) –информационная система, регулируемая внутренними документами Комитета государственных доходов Министерства финансов Республики К</w:t>
      </w:r>
      <w:r w:rsidRPr="00B76130">
        <w:rPr>
          <w:color w:val="000000"/>
          <w:lang w:val="ru-RU"/>
        </w:rPr>
        <w:t>азахстан;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4" w:name="z20"/>
      <w:bookmarkEnd w:id="13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7)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</w:t>
      </w:r>
      <w:r w:rsidRPr="00B76130">
        <w:rPr>
          <w:color w:val="000000"/>
          <w:lang w:val="ru-RU"/>
        </w:rPr>
        <w:t>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5" w:name="z21"/>
      <w:bookmarkEnd w:id="14"/>
      <w:r w:rsidRPr="00B76130">
        <w:rPr>
          <w:color w:val="000000"/>
        </w:rPr>
        <w:t> </w:t>
      </w:r>
      <w:r w:rsidRPr="00B76130">
        <w:rPr>
          <w:color w:val="000000"/>
        </w:rPr>
        <w:t>    </w:t>
      </w:r>
      <w:r w:rsidRPr="00B76130">
        <w:rPr>
          <w:color w:val="000000"/>
          <w:lang w:val="ru-RU"/>
        </w:rPr>
        <w:t xml:space="preserve">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</w:t>
      </w:r>
      <w:r w:rsidRPr="00B76130">
        <w:rPr>
          <w:color w:val="000000"/>
          <w:lang w:val="ru-RU"/>
        </w:rPr>
        <w:t xml:space="preserve">ючение к сетям субъектов естественных монополий и услуг субъектов </w:t>
      </w:r>
      <w:proofErr w:type="spellStart"/>
      <w:r w:rsidRPr="00B76130">
        <w:rPr>
          <w:color w:val="000000"/>
          <w:lang w:val="ru-RU"/>
        </w:rPr>
        <w:t>квазигосударственного</w:t>
      </w:r>
      <w:proofErr w:type="spellEnd"/>
      <w:r w:rsidRPr="00B76130">
        <w:rPr>
          <w:color w:val="000000"/>
          <w:lang w:val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</w:t>
      </w:r>
      <w:r w:rsidRPr="00B76130">
        <w:rPr>
          <w:color w:val="000000"/>
          <w:lang w:val="ru-RU"/>
        </w:rPr>
        <w:t xml:space="preserve">словий на подключение к сетям субъектов естественных монополий, услуг субъектов </w:t>
      </w:r>
      <w:proofErr w:type="spellStart"/>
      <w:r w:rsidRPr="00B76130">
        <w:rPr>
          <w:color w:val="000000"/>
          <w:lang w:val="ru-RU"/>
        </w:rPr>
        <w:t>квазигосударственного</w:t>
      </w:r>
      <w:proofErr w:type="spellEnd"/>
      <w:r w:rsidRPr="00B76130">
        <w:rPr>
          <w:color w:val="000000"/>
          <w:lang w:val="ru-RU"/>
        </w:rPr>
        <w:t xml:space="preserve"> сектора и выдаче их результатов </w:t>
      </w:r>
      <w:proofErr w:type="spellStart"/>
      <w:r w:rsidRPr="00B76130">
        <w:rPr>
          <w:color w:val="000000"/>
          <w:lang w:val="ru-RU"/>
        </w:rPr>
        <w:t>услугополучателю</w:t>
      </w:r>
      <w:proofErr w:type="spellEnd"/>
      <w:r w:rsidRPr="00B76130">
        <w:rPr>
          <w:color w:val="000000"/>
          <w:lang w:val="ru-RU"/>
        </w:rPr>
        <w:t xml:space="preserve"> по принципу "одного окна", а также обеспечения оказания государственных услуг в электронной форме, осущес</w:t>
      </w:r>
      <w:r w:rsidRPr="00B76130">
        <w:rPr>
          <w:color w:val="000000"/>
          <w:lang w:val="ru-RU"/>
        </w:rPr>
        <w:t>твляющее государственную регистрацию прав на недвижимое имущество по месту его нахождения;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6" w:name="z22"/>
      <w:bookmarkEnd w:id="15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9) ведомственная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</w:t>
      </w:r>
      <w:r w:rsidRPr="00B76130">
        <w:rPr>
          <w:color w:val="000000"/>
          <w:lang w:val="ru-RU"/>
        </w:rPr>
        <w:t>й" (далее – АИС МТСЗН РК) – информационная система по автоматизации процессов для организации обработки пенсионных и социальных отчислений и платежей;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7" w:name="z23"/>
      <w:bookmarkEnd w:id="16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10) государственная база данных "Физические лица" (далее – ГБД ФЛ) – единая система регистрации и х</w:t>
      </w:r>
      <w:r w:rsidRPr="00B76130">
        <w:rPr>
          <w:color w:val="000000"/>
          <w:lang w:val="ru-RU"/>
        </w:rPr>
        <w:t>ранения информации о физических лицах Министерства юстиции Республики Казахстан (далее – МЮ РК), достаточной для идентификации и определения гражданского состояния.</w:t>
      </w:r>
    </w:p>
    <w:p w:rsidR="00A80C37" w:rsidRPr="00B76130" w:rsidRDefault="00B76130">
      <w:pPr>
        <w:spacing w:after="0"/>
        <w:rPr>
          <w:lang w:val="ru-RU"/>
        </w:rPr>
      </w:pPr>
      <w:bookmarkStart w:id="18" w:name="z24"/>
      <w:bookmarkEnd w:id="17"/>
      <w:r w:rsidRPr="00B76130">
        <w:rPr>
          <w:b/>
          <w:color w:val="000000"/>
          <w:lang w:val="ru-RU"/>
        </w:rPr>
        <w:t xml:space="preserve"> Глава 2. Уплата единого совокупного платежа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19" w:name="z25"/>
      <w:bookmarkEnd w:id="18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3. Единый совокупный платеж подлежит уп</w:t>
      </w:r>
      <w:r w:rsidRPr="00B76130">
        <w:rPr>
          <w:color w:val="000000"/>
          <w:lang w:val="ru-RU"/>
        </w:rPr>
        <w:t>лате общей суммой. Уплата единого совокупного платежа производится путем внесения единого совокупного платежа плательщиком наличными деньгами либо безналичным способом через банки и организации, осуществляющие отдельные виды банковских операций, на банковс</w:t>
      </w:r>
      <w:r w:rsidRPr="00B76130">
        <w:rPr>
          <w:color w:val="000000"/>
          <w:lang w:val="ru-RU"/>
        </w:rPr>
        <w:t>кий счет Государственной корпорации с учетом требований Закона Республики Казахстан от 26 июля 2016 года "О платежах и платежных системах" (далее – Закон о платежах).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0" w:name="z26"/>
      <w:bookmarkEnd w:id="19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При этом, указанные организации не принимают единый совокупный платеж в случае нес</w:t>
      </w:r>
      <w:r w:rsidRPr="00B76130">
        <w:rPr>
          <w:color w:val="000000"/>
          <w:lang w:val="ru-RU"/>
        </w:rPr>
        <w:t>оответствия его размеру единого совокупного платежа, установленного пунктом 4 настоящих Правил.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1" w:name="z27"/>
      <w:bookmarkEnd w:id="2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4. Размер единого совокупного платежа, подлежащего уплате плательщиком, составляет: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2" w:name="z28"/>
      <w:bookmarkEnd w:id="21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1-кратный размер месячного расчетного показателя в городах </w:t>
      </w:r>
      <w:r w:rsidRPr="00B76130">
        <w:rPr>
          <w:color w:val="000000"/>
          <w:lang w:val="ru-RU"/>
        </w:rPr>
        <w:t>республиканского значения, столице и областного значения;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3" w:name="z29"/>
      <w:bookmarkEnd w:id="2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0,5-кратный размер месячного расчетного показателя в других населенных пунктах.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4" w:name="z30"/>
      <w:bookmarkEnd w:id="23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При этом на момент уплаты единого совокупного платежа применяется размер месячного расчетного показателя,</w:t>
      </w:r>
      <w:r w:rsidRPr="00B76130">
        <w:rPr>
          <w:color w:val="000000"/>
          <w:lang w:val="ru-RU"/>
        </w:rPr>
        <w:t xml:space="preserve"> установленного на соответствующий финансовый год Законом Республики Казахстан "О республиканском бюджете".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5" w:name="z31"/>
      <w:bookmarkEnd w:id="24"/>
      <w:r w:rsidRPr="00B76130">
        <w:rPr>
          <w:color w:val="000000"/>
        </w:rPr>
        <w:lastRenderedPageBreak/>
        <w:t>     </w:t>
      </w:r>
      <w:r w:rsidRPr="00B76130">
        <w:rPr>
          <w:color w:val="000000"/>
          <w:lang w:val="ru-RU"/>
        </w:rPr>
        <w:t xml:space="preserve"> 5. Уплата единого совокупного платежа плательщиками осуществляется самостоятельно или третьим лицом в их пользу с указанием месяца </w:t>
      </w:r>
      <w:r w:rsidRPr="00B76130">
        <w:rPr>
          <w:color w:val="000000"/>
          <w:lang w:val="ru-RU"/>
        </w:rPr>
        <w:t>календарного года, за который производится уплата единого совокупного платежа в формате "ММГГГГ".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6" w:name="z32"/>
      <w:bookmarkEnd w:id="25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При этом, единый совокупный платеж может уплачиваться за текущие и последующие месяцы календарного года.</w:t>
      </w:r>
    </w:p>
    <w:p w:rsidR="00A80C37" w:rsidRPr="00B76130" w:rsidRDefault="00B76130">
      <w:pPr>
        <w:spacing w:after="0"/>
        <w:rPr>
          <w:lang w:val="ru-RU"/>
        </w:rPr>
      </w:pPr>
      <w:bookmarkStart w:id="27" w:name="z33"/>
      <w:bookmarkEnd w:id="26"/>
      <w:r w:rsidRPr="00B76130">
        <w:rPr>
          <w:b/>
          <w:color w:val="000000"/>
          <w:lang w:val="ru-RU"/>
        </w:rPr>
        <w:t xml:space="preserve"> Глава 3. Порядок распределения и перечисления </w:t>
      </w:r>
      <w:r w:rsidRPr="00B76130">
        <w:rPr>
          <w:b/>
          <w:color w:val="000000"/>
          <w:lang w:val="ru-RU"/>
        </w:rPr>
        <w:t>единого совокупного платежа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8" w:name="z34"/>
      <w:bookmarkEnd w:id="27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6. Банки и организации, осуществляющие отдельные виды банковских операций, перечисляют поступившую сумму единого совокупного платежа в Государственную корпорацию электронными платежными поручениями формата МТ-102.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29" w:name="z35"/>
      <w:bookmarkEnd w:id="28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Ф</w:t>
      </w:r>
      <w:r w:rsidRPr="00B76130">
        <w:rPr>
          <w:color w:val="000000"/>
          <w:lang w:val="ru-RU"/>
        </w:rPr>
        <w:t>ормат платежного поручения МТ-102 (далее – платежное поручение МТ-102) содержит индивидуальный идентификационный номер, фамилию, имя, отчество (при его наличии), дату рождения лица, период (месяц, год) за который уплачивается единый совокупный платеж, а та</w:t>
      </w:r>
      <w:r w:rsidRPr="00B76130">
        <w:rPr>
          <w:color w:val="000000"/>
          <w:lang w:val="ru-RU"/>
        </w:rPr>
        <w:t>кже сумму в размере, исчисляемом в соответствии с пунктом 4 настоящих Правил.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0" w:name="z36"/>
      <w:bookmarkEnd w:id="29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7. Единый совокупный платеж (далее – ЕСП), уплаченный плательщиками, освобожденными от уплаты социальных платежей в соответствии с законодательством Республики Казахстан о </w:t>
      </w:r>
      <w:r w:rsidRPr="00B76130">
        <w:rPr>
          <w:color w:val="000000"/>
          <w:lang w:val="ru-RU"/>
        </w:rPr>
        <w:t>пенсионном обеспечении, обязательном социальном страховании и обязательном социальном медицинском страховании, не подлежит распределению на социальные платежи и перечисляется Государственной корпорацией в виде индивидуального подоходного налога в соответст</w:t>
      </w:r>
      <w:r w:rsidRPr="00B76130">
        <w:rPr>
          <w:color w:val="000000"/>
          <w:lang w:val="ru-RU"/>
        </w:rPr>
        <w:t>вующие бюджеты по месту жительства плательщика согласно соответствующему коду бюджетной</w:t>
      </w:r>
      <w:r w:rsidRPr="00B76130">
        <w:rPr>
          <w:color w:val="000000"/>
        </w:rPr>
        <w:t> </w:t>
      </w:r>
      <w:r w:rsidRPr="00B76130">
        <w:rPr>
          <w:color w:val="000000"/>
          <w:lang w:val="ru-RU"/>
        </w:rPr>
        <w:t>классификации (далее – КБК) на сумму распределяемых социальных платежей.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1" w:name="z37"/>
      <w:bookmarkEnd w:id="3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Сведения о лицах, освобожденных от уплаты социальных платежей в соответствии с законодате</w:t>
      </w:r>
      <w:r w:rsidRPr="00B76130">
        <w:rPr>
          <w:color w:val="000000"/>
          <w:lang w:val="ru-RU"/>
        </w:rPr>
        <w:t>льством Республики Казахстан о пенсионном обеспечении, обязательном социальном страховании и обязательном социальном медицинском страховании представляются из АИС МТСЗН РК.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2" w:name="z38"/>
      <w:bookmarkEnd w:id="31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8. Государственная корпорация в течение трех операционных дней со дня поступл</w:t>
      </w:r>
      <w:r w:rsidRPr="00B76130">
        <w:rPr>
          <w:color w:val="000000"/>
          <w:lang w:val="ru-RU"/>
        </w:rPr>
        <w:t>ения средств распределяет сумму ЕСП и перечисляет платежными поручениями: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3" w:name="z39"/>
      <w:bookmarkEnd w:id="32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10 процентов от размера ЕСП, предусмотренного пунктом 4 настоящих Правил, в виде индивидуального подоходного налога по месту жительства плательщиков согласно соответствующему </w:t>
      </w:r>
      <w:r w:rsidRPr="00B76130">
        <w:rPr>
          <w:color w:val="000000"/>
          <w:lang w:val="ru-RU"/>
        </w:rPr>
        <w:t>КБК;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4" w:name="z40"/>
      <w:bookmarkEnd w:id="33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20 процентов от размера ЕСП, предусмотренного пунктом 4 настоящих Правил, в виде социальных отчислений в ГФСС;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5" w:name="z41"/>
      <w:bookmarkEnd w:id="34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30 процентов от размера ЕСП, предусмотренного пунктом 4 настоящих Правил, в виде обязательных пенсионных взносов в ЕНПФ;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6" w:name="z42"/>
      <w:bookmarkEnd w:id="35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</w:t>
      </w:r>
      <w:r w:rsidRPr="00B76130">
        <w:rPr>
          <w:color w:val="000000"/>
        </w:rPr>
        <w:t> </w:t>
      </w:r>
      <w:r w:rsidRPr="00B76130">
        <w:rPr>
          <w:color w:val="000000"/>
          <w:lang w:val="ru-RU"/>
        </w:rPr>
        <w:t xml:space="preserve"> 40 процентов от размера ЕСП, предусмотренного пунктом 4 настоящих Правил, в виде отчислений на обязательное медицинское страхование в ФСМС.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7" w:name="z43"/>
      <w:bookmarkEnd w:id="36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Распределяемые суммы ЕСП Государственной корпорацией перечисляются без округления вне зависимости от вида с</w:t>
      </w:r>
      <w:r w:rsidRPr="00B76130">
        <w:rPr>
          <w:color w:val="000000"/>
          <w:lang w:val="ru-RU"/>
        </w:rPr>
        <w:t>оциального платежа и индивидуального подоходного налога соответствующими кодами назначения платежа согласно Правилам применения кодов секторов экономики и назначения платежей, утвержденным постановлением Правления Национального Банка Республики Казахстан о</w:t>
      </w:r>
      <w:r w:rsidRPr="00B76130">
        <w:rPr>
          <w:color w:val="000000"/>
          <w:lang w:val="ru-RU"/>
        </w:rPr>
        <w:t>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8" w:name="z44"/>
      <w:bookmarkEnd w:id="37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К электронным платежным поручениям по социа</w:t>
      </w:r>
      <w:r w:rsidRPr="00B76130">
        <w:rPr>
          <w:color w:val="000000"/>
          <w:lang w:val="ru-RU"/>
        </w:rPr>
        <w:t>льным платежам прилагается список физических лиц, за которых уплачиваются единые совокупные платежи с указанием периода уплаты.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39" w:name="z45"/>
      <w:bookmarkEnd w:id="38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9. Государственная корпорация ежедневно по перечисленным платежным поручениям в рамках ЕСП направляет списки физических ли</w:t>
      </w:r>
      <w:r w:rsidRPr="00B76130">
        <w:rPr>
          <w:color w:val="000000"/>
          <w:lang w:val="ru-RU"/>
        </w:rPr>
        <w:t xml:space="preserve">ц из АИС МТСЗН РК в Комитет государственных доходов Министерства финансов Республики Казахстан (далее – КГД) с указанием индивидуальных идентификационных номеров, фамилии, имени, отчества (при его наличии), даты рождения, месяца </w:t>
      </w:r>
      <w:r w:rsidRPr="00B76130">
        <w:rPr>
          <w:color w:val="000000"/>
          <w:lang w:val="ru-RU"/>
        </w:rPr>
        <w:lastRenderedPageBreak/>
        <w:t>уплаты, кодов (или бизнес и</w:t>
      </w:r>
      <w:r w:rsidRPr="00B76130">
        <w:rPr>
          <w:color w:val="000000"/>
          <w:lang w:val="ru-RU"/>
        </w:rPr>
        <w:t xml:space="preserve">дентификационный номер) территориальных органов государственных доходов, куда были перечислены суммы индивидуального подоходного налога, номеров платежей и </w:t>
      </w:r>
      <w:proofErr w:type="spellStart"/>
      <w:r w:rsidRPr="00B76130">
        <w:rPr>
          <w:color w:val="000000"/>
          <w:lang w:val="ru-RU"/>
        </w:rPr>
        <w:t>референсов</w:t>
      </w:r>
      <w:proofErr w:type="spellEnd"/>
      <w:r w:rsidRPr="00B76130">
        <w:rPr>
          <w:color w:val="000000"/>
          <w:lang w:val="ru-RU"/>
        </w:rPr>
        <w:t>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0" w:name="z46"/>
      <w:bookmarkEnd w:id="39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10. Распределение индивидуального подоходного налога в рамках ЕСП осуществляется Г</w:t>
      </w:r>
      <w:r w:rsidRPr="00B76130">
        <w:rPr>
          <w:color w:val="000000"/>
          <w:lang w:val="ru-RU"/>
        </w:rPr>
        <w:t>осударственной корпорацией согласно сведениям ГБД ФЛ и справочника кодов органов государственных доходов. Обновление справочника кодов органов государственных доходов осуществляется КГД.</w:t>
      </w:r>
    </w:p>
    <w:p w:rsidR="00A80C37" w:rsidRPr="00B76130" w:rsidRDefault="00B76130">
      <w:pPr>
        <w:spacing w:after="0"/>
        <w:rPr>
          <w:lang w:val="ru-RU"/>
        </w:rPr>
      </w:pPr>
      <w:bookmarkStart w:id="41" w:name="z47"/>
      <w:bookmarkEnd w:id="40"/>
      <w:r w:rsidRPr="00B76130">
        <w:rPr>
          <w:b/>
          <w:color w:val="000000"/>
          <w:lang w:val="ru-RU"/>
        </w:rPr>
        <w:t xml:space="preserve"> Глава 4. Порядок возврата ошибочно уплаченных сумм единого совокупно</w:t>
      </w:r>
      <w:r w:rsidRPr="00B76130">
        <w:rPr>
          <w:b/>
          <w:color w:val="000000"/>
          <w:lang w:val="ru-RU"/>
        </w:rPr>
        <w:t>го платежа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2" w:name="z48"/>
      <w:bookmarkEnd w:id="41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11. Государственная корпорация осуществляет возврат ошибочно уплаченных сумм ЕСП плательщику в следующих случаях, если: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3" w:name="z49"/>
      <w:bookmarkEnd w:id="4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1) в реквизитах платежного документа допущены ошибки;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4" w:name="z50"/>
      <w:bookmarkEnd w:id="43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2) в одном платежном документе сумма ЕСП перечислена </w:t>
      </w:r>
      <w:r w:rsidRPr="00B76130">
        <w:rPr>
          <w:color w:val="000000"/>
          <w:lang w:val="ru-RU"/>
        </w:rPr>
        <w:t>два и более раз за один и тот же период, на одного и того же физическое лицо;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5" w:name="z51"/>
      <w:bookmarkEnd w:id="44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3) в списочной части платежного поручения МТ-102 допущены ошибки;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6" w:name="z52"/>
      <w:bookmarkEnd w:id="45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4) сумма ЕСП не соответствует размеру, указанному в пункте 4 настоящих Правил, для соответствующего</w:t>
      </w:r>
      <w:r w:rsidRPr="00B76130">
        <w:rPr>
          <w:color w:val="000000"/>
          <w:lang w:val="ru-RU"/>
        </w:rPr>
        <w:t xml:space="preserve"> периода;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7" w:name="z53"/>
      <w:bookmarkEnd w:id="46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5) отсутствует место постоянной регистрации плательщика в ГБД ФЛ;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8" w:name="z54"/>
      <w:bookmarkEnd w:id="47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6) отсутствует соответствующий территориальный орган государственных доходов по зарегистрированному месту постоянной регистрации плательщика в ГБД ФЛ.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49" w:name="z55"/>
      <w:bookmarkEnd w:id="48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В случаях,</w:t>
      </w:r>
      <w:r w:rsidRPr="00B76130">
        <w:rPr>
          <w:color w:val="000000"/>
          <w:lang w:val="ru-RU"/>
        </w:rPr>
        <w:t xml:space="preserve"> предусмотренных подпунктами 1), 2), 3), 4), 5) и 6) пункта 11 настоящих Правил, ЕСП в счет уплаты не засчитывается и возвращается как ошибочно уплаченные суммы ЕСП в банки и организации, осуществляющие отдельные виды банковских операций.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0" w:name="z56"/>
      <w:bookmarkEnd w:id="49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12. Для во</w:t>
      </w:r>
      <w:r w:rsidRPr="00B76130">
        <w:rPr>
          <w:color w:val="000000"/>
          <w:lang w:val="ru-RU"/>
        </w:rPr>
        <w:t>зврата ошибочно уплаченных сумм ЕСП плательщиком, банком или организацией, осуществляющей отдельные виды банковских операций, подается заявление на возврат ошибочно уплаченного ЕСП в Государственную корпорацию, согласно приложению 1 к настоящим Правилам, к</w:t>
      </w:r>
      <w:r w:rsidRPr="00B76130">
        <w:rPr>
          <w:color w:val="000000"/>
          <w:lang w:val="ru-RU"/>
        </w:rPr>
        <w:t xml:space="preserve"> которому прилагается копия платежного документа либо документа, подтверждающего уплату ЕСП.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1" w:name="z57"/>
      <w:bookmarkEnd w:id="5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13. Государственная корпорация в течение пяти операционных дней со дня поступления заявления плательщика, банка или организации, осуществляющей отдельные вид</w:t>
      </w:r>
      <w:r w:rsidRPr="00B76130">
        <w:rPr>
          <w:color w:val="000000"/>
          <w:lang w:val="ru-RU"/>
        </w:rPr>
        <w:t>ы банковских операций, проверяет факт зачисления плательщиком ЕСП.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2" w:name="z58"/>
      <w:bookmarkEnd w:id="51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При этом возврату не подлежат перечисленные суммы ЕСП в следующих случаях, если: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3" w:name="z59"/>
      <w:bookmarkEnd w:id="5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1) сумма, требуемая плательщиком для возврата, не соответствует сумме, перечисленной в </w:t>
      </w:r>
      <w:r w:rsidRPr="00B76130">
        <w:rPr>
          <w:color w:val="000000"/>
          <w:lang w:val="ru-RU"/>
        </w:rPr>
        <w:t>соответствующие бюджеты органов государственных доходов по месту постоянной регистрации плательщика, ГФСС, ФСМС и ЕНПФ;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4" w:name="z60"/>
      <w:bookmarkEnd w:id="53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2) в заявлении плательщика неверно указаны (либо не указаны) реквизиты плательщика (индивидуальный идентификационный номер), рекв</w:t>
      </w:r>
      <w:r w:rsidRPr="00B76130">
        <w:rPr>
          <w:color w:val="000000"/>
          <w:lang w:val="ru-RU"/>
        </w:rPr>
        <w:t xml:space="preserve">изиты платежа (номер и (или) дата и (или) сумма платежного поручения); 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5" w:name="z61"/>
      <w:bookmarkEnd w:id="54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3) форма заявления плательщика не соответствует приложению 1 к настоящим Правилам;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6" w:name="z62"/>
      <w:bookmarkEnd w:id="55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4) в заявлении плательщика указана некорректная причина возврата (выбор более одной прич</w:t>
      </w:r>
      <w:r w:rsidRPr="00B76130">
        <w:rPr>
          <w:color w:val="000000"/>
          <w:lang w:val="ru-RU"/>
        </w:rPr>
        <w:t>ины).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7" w:name="z63"/>
      <w:bookmarkEnd w:id="56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14. На основании заявления плательщика, банка или организации, осуществляющей отдельные виды банковских операций, за исключением случаев, предусмотренных частью второй пункта 13 настоящих Правил, Государственная корпорация в срок не позднее дв</w:t>
      </w:r>
      <w:r w:rsidRPr="00B76130">
        <w:rPr>
          <w:color w:val="000000"/>
          <w:lang w:val="ru-RU"/>
        </w:rPr>
        <w:t>ух рабочих дней со дня проверки факта зачисления сумм ЕСП формирует и направляет в КГД, ГФСС, ФСМС и ЕНПФ предварительную электронную заявку, подготовленную на возврат ошибочно зачисленных сумм ЕСП.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8" w:name="z64"/>
      <w:bookmarkEnd w:id="57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В предварительной электронной заявке указываются ре</w:t>
      </w:r>
      <w:r w:rsidRPr="00B76130">
        <w:rPr>
          <w:color w:val="000000"/>
          <w:lang w:val="ru-RU"/>
        </w:rPr>
        <w:t>квизиты платежного поручения ошибочно уплаченных сумм ЕСП с приложением подтверждающих документов.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59" w:name="z65"/>
      <w:bookmarkEnd w:id="58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15. КГД, ГФСС, ФСМС и ЕНПФ в течение семи рабочих дней после поступления электронной заявки рассматривают и направляют в Государственную корпорацию ув</w:t>
      </w:r>
      <w:r w:rsidRPr="00B76130">
        <w:rPr>
          <w:color w:val="000000"/>
          <w:lang w:val="ru-RU"/>
        </w:rPr>
        <w:t>едомление по форме согласно приложению 2 к настоящим Правилам: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0" w:name="z66"/>
      <w:bookmarkEnd w:id="59"/>
      <w:r w:rsidRPr="00B76130">
        <w:rPr>
          <w:color w:val="000000"/>
        </w:rPr>
        <w:lastRenderedPageBreak/>
        <w:t>     </w:t>
      </w:r>
      <w:r w:rsidRPr="00B76130">
        <w:rPr>
          <w:color w:val="000000"/>
          <w:lang w:val="ru-RU"/>
        </w:rPr>
        <w:t xml:space="preserve"> о возврате плательщику ошибочно уплаченных сумм индивидуального подоходного налога и (или) социальных платежей;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1" w:name="z67"/>
      <w:bookmarkEnd w:id="6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об отказе в возврате плательщику ошибочно уплаченных сумм индивидуаль</w:t>
      </w:r>
      <w:r w:rsidRPr="00B76130">
        <w:rPr>
          <w:color w:val="000000"/>
          <w:lang w:val="ru-RU"/>
        </w:rPr>
        <w:t>ного подоходного налога и (или) социальных платежей по следующим основаниям: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2" w:name="z68"/>
      <w:bookmarkEnd w:id="61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1) период уплаты обязательных пенсионных взносов в ЕНПФ включен в стаж работы; 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3" w:name="z69"/>
      <w:bookmarkEnd w:id="6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2) период уплаты социальных отчислений в ГФСС зачтен в стаж участия в системе обязател</w:t>
      </w:r>
      <w:r w:rsidRPr="00B76130">
        <w:rPr>
          <w:color w:val="000000"/>
          <w:lang w:val="ru-RU"/>
        </w:rPr>
        <w:t>ьного социального страхования при назначении социальных выплат;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4" w:name="z70"/>
      <w:bookmarkEnd w:id="63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3) за период уплаты взносов в ФСМС плательщик ЕСП получил медицинскую помощь за счет ФСМС;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5" w:name="z71"/>
      <w:bookmarkEnd w:id="64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4) причина возврата, указанная в заявлении в возврате плательщику ошибочно уплаченных сум</w:t>
      </w:r>
      <w:r w:rsidRPr="00B76130">
        <w:rPr>
          <w:color w:val="000000"/>
          <w:lang w:val="ru-RU"/>
        </w:rPr>
        <w:t>м индивидуального подоходного налога и (или) социальных платежей, не подтверждается.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6" w:name="z72"/>
      <w:bookmarkEnd w:id="65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В случае получения уведомления об отказе из КГД, ГФСС, ФСМС и ЕНПФ либо от одного из них, Государственная корпорация в течение трех рабочих дней со дня получения отк</w:t>
      </w:r>
      <w:r w:rsidRPr="00B76130">
        <w:rPr>
          <w:color w:val="000000"/>
          <w:lang w:val="ru-RU"/>
        </w:rPr>
        <w:t>азов в возврате плательщику ошибочно уплаченных сумм индивидуального подоходного налога и (или) социальных платежей из КГД, ГФСС, ФСМС и ЕНПФ направляет соответствующим сторонам уведомление об аннулировании заявки на возврат. Плательщику в течение трех раб</w:t>
      </w:r>
      <w:r w:rsidRPr="00B76130">
        <w:rPr>
          <w:color w:val="000000"/>
          <w:lang w:val="ru-RU"/>
        </w:rPr>
        <w:t>очих дней со дня получения отказов в возврате плательщику ошибочно уплаченных сумм индивидуального подоходного налога и (или) социальных платежей из КГД, ГФСС, ФСМС и ЕНПФ Государственной корпорацией направляется письменный ответ о причине отказа в возврат</w:t>
      </w:r>
      <w:r w:rsidRPr="00B76130">
        <w:rPr>
          <w:color w:val="000000"/>
          <w:lang w:val="ru-RU"/>
        </w:rPr>
        <w:t>е ошибочно уплаченных сумм индивидуального подоходного налога и (или) социальных платежей.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7" w:name="z73"/>
      <w:bookmarkEnd w:id="66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При получении положительных ответов от КГД, ГФСС, ФСМС и ЕНПФ Государственная корпорация в течение двух рабочих дней направляет электронную заявку в КГД, ГФСС,</w:t>
      </w:r>
      <w:r w:rsidRPr="00B76130">
        <w:rPr>
          <w:color w:val="000000"/>
          <w:lang w:val="ru-RU"/>
        </w:rPr>
        <w:t xml:space="preserve"> ФСМС и ЕНПФ на перечисление запрашиваемых сумм ЕСП на счет Государственной корпорации.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8" w:name="z74"/>
      <w:bookmarkEnd w:id="67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16. Перечисление запрашиваемых сумм ЕСП на счет Государственной корпорации осуществляется КГД, ГФСС, ФСМС и ЕНПФ в течение двух рабочих дней со дня получения </w:t>
      </w:r>
      <w:r w:rsidRPr="00B76130">
        <w:rPr>
          <w:color w:val="000000"/>
          <w:lang w:val="ru-RU"/>
        </w:rPr>
        <w:t>электронной заявки с приложением списка плательщиков ЕСП и указанием номера, даты заявки Государственной корпорации.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69" w:name="z75"/>
      <w:bookmarkEnd w:id="68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17. Государственная корпорация при получении полной суммы ЕСП в течение трех операционных дней со дня поступления сумм индивидуальног</w:t>
      </w:r>
      <w:r w:rsidRPr="00B76130">
        <w:rPr>
          <w:color w:val="000000"/>
          <w:lang w:val="ru-RU"/>
        </w:rPr>
        <w:t>о подоходного налога и социальных платежей производит их перечисление платежным поручением на банковский счет плательщика ЕСП, указанного в заявлении на возврат ошибочно уплаченных сумм ЕСП.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70" w:name="z76"/>
      <w:bookmarkEnd w:id="69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18. Государственная корпорация ежедневно представляет в орг</w:t>
      </w:r>
      <w:r w:rsidRPr="00B76130">
        <w:rPr>
          <w:color w:val="000000"/>
          <w:lang w:val="ru-RU"/>
        </w:rPr>
        <w:t>ан государственных доходов реестры поступивших и возвращенных платежей по плательщикам ЕСП.</w:t>
      </w:r>
    </w:p>
    <w:p w:rsidR="00A80C37" w:rsidRPr="00B76130" w:rsidRDefault="00B76130">
      <w:pPr>
        <w:spacing w:after="0"/>
        <w:jc w:val="both"/>
        <w:rPr>
          <w:lang w:val="ru-RU"/>
        </w:rPr>
      </w:pPr>
      <w:bookmarkStart w:id="71" w:name="z77"/>
      <w:bookmarkEnd w:id="7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19. Плательщик ЕСП при необходимости запрашивает и получает от Государственной корпорации информацию о перечисленных суммах социальных отчислений в ГФСС, отчи</w:t>
      </w:r>
      <w:r w:rsidRPr="00B76130">
        <w:rPr>
          <w:color w:val="000000"/>
          <w:lang w:val="ru-RU"/>
        </w:rPr>
        <w:t>слений взносов в ФСМС, обязательных пенсионных взносах в ЕНПФ, а также индивидуального подоходного налога, уплаченных единым совокупным платежом.</w:t>
      </w:r>
    </w:p>
    <w:bookmarkEnd w:id="71"/>
    <w:p w:rsidR="00A80C37" w:rsidRPr="00B76130" w:rsidRDefault="00B76130">
      <w:pPr>
        <w:spacing w:after="0"/>
        <w:rPr>
          <w:lang w:val="ru-RU"/>
        </w:rPr>
      </w:pPr>
      <w:r w:rsidRPr="00B76130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A80C37" w:rsidRPr="00B76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>
            <w:pPr>
              <w:spacing w:after="0"/>
              <w:jc w:val="center"/>
              <w:rPr>
                <w:lang w:val="ru-RU"/>
              </w:rPr>
            </w:pPr>
            <w:r w:rsidRPr="00B76130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A80C37" w:rsidRPr="00B76130" w:rsidRDefault="00B76130">
            <w:pPr>
              <w:spacing w:after="0"/>
              <w:jc w:val="center"/>
              <w:rPr>
                <w:lang w:val="ru-RU"/>
              </w:rPr>
            </w:pPr>
            <w:r w:rsidRPr="00B76130">
              <w:rPr>
                <w:color w:val="000000"/>
                <w:lang w:val="ru-RU"/>
              </w:rPr>
              <w:lastRenderedPageBreak/>
              <w:t>Приложение 1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к Правилам уплаты,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распределения и перечисления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единого совокупного платежа в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виде индивидуал</w:t>
            </w:r>
            <w:r w:rsidRPr="00B76130">
              <w:rPr>
                <w:color w:val="000000"/>
                <w:lang w:val="ru-RU"/>
              </w:rPr>
              <w:t>ьного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подоходного налога и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социальных платежей, а также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их возврата</w:t>
            </w:r>
          </w:p>
        </w:tc>
      </w:tr>
      <w:tr w:rsidR="00A80C37" w:rsidRPr="00B76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 w:rsidP="00B76130">
            <w:pPr>
              <w:spacing w:after="0"/>
              <w:rPr>
                <w:lang w:val="ru-RU"/>
              </w:rPr>
            </w:pPr>
            <w:r w:rsidRPr="00B76130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C37" w:rsidRPr="00B76130" w:rsidRDefault="00B76130" w:rsidP="00B76130">
            <w:pPr>
              <w:spacing w:after="0"/>
            </w:pPr>
            <w:proofErr w:type="spellStart"/>
            <w:r w:rsidRPr="00B76130">
              <w:rPr>
                <w:color w:val="000000"/>
              </w:rPr>
              <w:t>Форма</w:t>
            </w:r>
            <w:proofErr w:type="spellEnd"/>
          </w:p>
        </w:tc>
      </w:tr>
    </w:tbl>
    <w:p w:rsidR="00A80C37" w:rsidRPr="00B76130" w:rsidRDefault="00B76130" w:rsidP="00B76130">
      <w:pPr>
        <w:spacing w:after="0"/>
        <w:rPr>
          <w:lang w:val="ru-RU"/>
        </w:rPr>
      </w:pPr>
      <w:bookmarkStart w:id="72" w:name="z80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Председателю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Государственной корпорации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(наименование)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</w:t>
      </w:r>
      <w:r w:rsidRPr="00B76130">
        <w:rPr>
          <w:color w:val="000000"/>
        </w:rPr>
        <w:t>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(указать фамилию, имя, отчество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(при его наличии)</w:t>
      </w:r>
    </w:p>
    <w:p w:rsidR="00A80C37" w:rsidRPr="00B76130" w:rsidRDefault="00B76130" w:rsidP="00B76130">
      <w:pPr>
        <w:spacing w:after="0"/>
        <w:rPr>
          <w:lang w:val="ru-RU"/>
        </w:rPr>
      </w:pPr>
      <w:bookmarkStart w:id="73" w:name="z81"/>
      <w:bookmarkEnd w:id="72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Адрес проживания, контактные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</w:t>
      </w:r>
      <w:r w:rsidRPr="00B76130">
        <w:rPr>
          <w:color w:val="000000"/>
        </w:rPr>
        <w:t>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данные_________________________</w:t>
      </w:r>
    </w:p>
    <w:p w:rsidR="00A80C37" w:rsidRPr="00B76130" w:rsidRDefault="00B76130" w:rsidP="00B76130">
      <w:pPr>
        <w:spacing w:after="0"/>
        <w:rPr>
          <w:lang w:val="ru-RU"/>
        </w:rPr>
      </w:pPr>
      <w:bookmarkStart w:id="74" w:name="z82"/>
      <w:bookmarkEnd w:id="73"/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b/>
          <w:color w:val="000000"/>
          <w:lang w:val="ru-RU"/>
        </w:rPr>
        <w:t>Заявление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b/>
          <w:color w:val="000000"/>
          <w:lang w:val="ru-RU"/>
        </w:rPr>
        <w:t>на возврат ошибочно уплаченных сумм единого совокупного платежа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от ________________________________________________________________________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(наименование </w:t>
      </w:r>
      <w:r w:rsidRPr="00B76130">
        <w:rPr>
          <w:color w:val="000000"/>
          <w:lang w:val="ru-RU"/>
        </w:rPr>
        <w:t>плательщика единого совокупного платежа или банка, организации,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осуществляющей отдельные виды банковских операций плательщика)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Прошу произвести возврат ошибочно уплаченного единого совокупного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платежа за ______________________________________</w:t>
      </w:r>
      <w:r w:rsidRPr="00B76130">
        <w:rPr>
          <w:color w:val="000000"/>
          <w:lang w:val="ru-RU"/>
        </w:rPr>
        <w:t>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(указать фамилию, имя, отчество (при его наличии),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_______________________________________________________________________,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индивидуальный идентификационный номер)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перечисленного платежным пору</w:t>
      </w:r>
      <w:r w:rsidRPr="00B76130">
        <w:rPr>
          <w:color w:val="000000"/>
          <w:lang w:val="ru-RU"/>
        </w:rPr>
        <w:t>чением от "__" _______20__года № ___,</w:t>
      </w:r>
      <w:r w:rsidRPr="00B76130">
        <w:rPr>
          <w:lang w:val="ru-RU"/>
        </w:rPr>
        <w:br/>
      </w:r>
      <w:proofErr w:type="spellStart"/>
      <w:r w:rsidRPr="00B76130">
        <w:rPr>
          <w:color w:val="000000"/>
          <w:lang w:val="ru-RU"/>
        </w:rPr>
        <w:t>референс</w:t>
      </w:r>
      <w:proofErr w:type="spellEnd"/>
      <w:r w:rsidRPr="00B76130">
        <w:rPr>
          <w:color w:val="000000"/>
          <w:lang w:val="ru-RU"/>
        </w:rPr>
        <w:t>, общая сумма ________________, сумма возврата _________________.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Корректировка последующими платежами невозможна по следующей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причине____________________________________________________________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</w:t>
      </w:r>
      <w:r w:rsidRPr="00B76130">
        <w:rPr>
          <w:color w:val="000000"/>
        </w:rPr>
        <w:t>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(перечислить)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1) ошибочно перечислены;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2) в формате платежного поручения МТ 102 допущены ошибки;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3) суммы единого совокупного платежа перечислены плательщиком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или банком два или более раз.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Возврат просим произвести по следующим реквизитам: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>___________________________________________________________________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(указать полные данные плательщика, банковские реквизиты)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Плательщик _____________________________/___________</w:t>
      </w:r>
      <w:r w:rsidRPr="00B76130">
        <w:rPr>
          <w:color w:val="000000"/>
          <w:lang w:val="ru-RU"/>
        </w:rPr>
        <w:t>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(фамилия, имя, отчество (при его наличии) /подпись)</w:t>
      </w:r>
      <w:r w:rsidRPr="00B76130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A80C37" w:rsidRPr="00B76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A80C37" w:rsidRPr="00B76130" w:rsidRDefault="00B76130">
            <w:pPr>
              <w:spacing w:after="0"/>
              <w:jc w:val="center"/>
              <w:rPr>
                <w:lang w:val="ru-RU"/>
              </w:rPr>
            </w:pPr>
            <w:r w:rsidRPr="00B76130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B76130" w:rsidRDefault="00B76130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A80C37" w:rsidRPr="00B76130" w:rsidRDefault="00B76130">
            <w:pPr>
              <w:spacing w:after="0"/>
              <w:jc w:val="center"/>
              <w:rPr>
                <w:lang w:val="ru-RU"/>
              </w:rPr>
            </w:pPr>
            <w:r w:rsidRPr="00B76130">
              <w:rPr>
                <w:color w:val="000000"/>
                <w:lang w:val="ru-RU"/>
              </w:rPr>
              <w:lastRenderedPageBreak/>
              <w:t>Приложение 2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к Правилам уплаты,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распределения и перечисления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единого совокупного платежа в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виде индивидуального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подоходного налога и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социальных платежей, а также</w:t>
            </w:r>
            <w:r w:rsidRPr="00B76130">
              <w:rPr>
                <w:lang w:val="ru-RU"/>
              </w:rPr>
              <w:br/>
            </w:r>
            <w:r w:rsidRPr="00B76130">
              <w:rPr>
                <w:color w:val="000000"/>
                <w:lang w:val="ru-RU"/>
              </w:rPr>
              <w:t>их возвр</w:t>
            </w:r>
            <w:r w:rsidRPr="00B76130">
              <w:rPr>
                <w:color w:val="000000"/>
                <w:lang w:val="ru-RU"/>
              </w:rPr>
              <w:t>ата</w:t>
            </w:r>
          </w:p>
        </w:tc>
      </w:tr>
    </w:tbl>
    <w:p w:rsidR="00A80C37" w:rsidRPr="00B76130" w:rsidRDefault="00B76130" w:rsidP="00B76130">
      <w:pPr>
        <w:spacing w:after="0"/>
        <w:rPr>
          <w:lang w:val="ru-RU"/>
        </w:rPr>
      </w:pPr>
      <w:bookmarkStart w:id="75" w:name="z84"/>
      <w:r w:rsidRPr="00B76130">
        <w:rPr>
          <w:b/>
          <w:color w:val="000000"/>
          <w:lang w:val="ru-RU"/>
        </w:rPr>
        <w:lastRenderedPageBreak/>
        <w:t xml:space="preserve"> Уведомление</w:t>
      </w:r>
      <w:r w:rsidRPr="00B76130">
        <w:rPr>
          <w:lang w:val="ru-RU"/>
        </w:rPr>
        <w:br/>
      </w:r>
      <w:r w:rsidRPr="00B76130">
        <w:rPr>
          <w:b/>
          <w:color w:val="000000"/>
          <w:lang w:val="ru-RU"/>
        </w:rPr>
        <w:t>об отказе в возврате суммы единого совокупного платежа</w:t>
      </w:r>
    </w:p>
    <w:p w:rsidR="00A80C37" w:rsidRPr="00B76130" w:rsidRDefault="00B76130" w:rsidP="00B76130">
      <w:pPr>
        <w:spacing w:after="0"/>
        <w:rPr>
          <w:lang w:val="ru-RU"/>
        </w:rPr>
      </w:pPr>
      <w:bookmarkStart w:id="76" w:name="z85"/>
      <w:bookmarkEnd w:id="75"/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от "___" _______20___года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Гражданин (ка) _____________________________________________________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(фамилия, имя, отчество (при наличии)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Дата </w:t>
      </w:r>
      <w:r w:rsidRPr="00B76130">
        <w:rPr>
          <w:color w:val="000000"/>
          <w:lang w:val="ru-RU"/>
        </w:rPr>
        <w:t>рождения 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Отказано в возврате по причине _______________________________________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Уведомление удостоверено ЭЦП ответственного лица</w:t>
      </w:r>
      <w:r w:rsidRPr="00B76130">
        <w:rPr>
          <w:lang w:val="ru-RU"/>
        </w:rPr>
        <w:br/>
      </w:r>
      <w:r w:rsidRPr="00B76130">
        <w:rPr>
          <w:color w:val="000000"/>
          <w:lang w:val="ru-RU"/>
        </w:rPr>
        <w:t xml:space="preserve"> </w:t>
      </w:r>
      <w:r w:rsidRPr="00B76130">
        <w:rPr>
          <w:color w:val="000000"/>
        </w:rPr>
        <w:t>     </w:t>
      </w:r>
      <w:r w:rsidRPr="00B76130">
        <w:rPr>
          <w:color w:val="000000"/>
          <w:lang w:val="ru-RU"/>
        </w:rPr>
        <w:t xml:space="preserve"> Руководитель</w:t>
      </w:r>
    </w:p>
    <w:bookmarkEnd w:id="76"/>
    <w:p w:rsidR="00A80C37" w:rsidRPr="00B76130" w:rsidRDefault="00B76130" w:rsidP="00B76130">
      <w:pPr>
        <w:spacing w:after="0"/>
        <w:rPr>
          <w:lang w:val="ru-RU"/>
        </w:rPr>
      </w:pPr>
      <w:r w:rsidRPr="00B76130">
        <w:rPr>
          <w:lang w:val="ru-RU"/>
        </w:rPr>
        <w:br/>
      </w:r>
      <w:r w:rsidRPr="00B76130">
        <w:rPr>
          <w:lang w:val="ru-RU"/>
        </w:rPr>
        <w:br/>
      </w:r>
    </w:p>
    <w:p w:rsidR="00A80C37" w:rsidRPr="00B76130" w:rsidRDefault="00B76130" w:rsidP="00B76130">
      <w:pPr>
        <w:pStyle w:val="disclaimer"/>
        <w:jc w:val="left"/>
        <w:rPr>
          <w:sz w:val="22"/>
          <w:szCs w:val="22"/>
          <w:lang w:val="ru-RU"/>
        </w:rPr>
      </w:pPr>
      <w:r w:rsidRPr="00B76130">
        <w:rPr>
          <w:color w:val="000000"/>
          <w:sz w:val="22"/>
          <w:szCs w:val="22"/>
          <w:lang w:val="ru-RU"/>
        </w:rPr>
        <w:t>© 2012. РГП на ПХВ Республиканский центр правовой информации Мини</w:t>
      </w:r>
      <w:r w:rsidRPr="00B76130">
        <w:rPr>
          <w:color w:val="000000"/>
          <w:sz w:val="22"/>
          <w:szCs w:val="22"/>
          <w:lang w:val="ru-RU"/>
        </w:rPr>
        <w:t>стерства юстиции Республики Казахстан</w:t>
      </w:r>
      <w:bookmarkStart w:id="77" w:name="_GoBack"/>
      <w:bookmarkEnd w:id="77"/>
    </w:p>
    <w:sectPr w:rsidR="00A80C37" w:rsidRPr="00B7613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C37"/>
    <w:rsid w:val="00A80C37"/>
    <w:rsid w:val="00B7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7F97"/>
  <w15:docId w15:val="{B3B9E9BF-4AD1-40DD-A1E8-DC11C8D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3072</Words>
  <Characters>17517</Characters>
  <Application>Microsoft Office Word</Application>
  <DocSecurity>0</DocSecurity>
  <Lines>145</Lines>
  <Paragraphs>41</Paragraphs>
  <ScaleCrop>false</ScaleCrop>
  <Company/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2019-01-23T09:08:00Z</dcterms:created>
  <dcterms:modified xsi:type="dcterms:W3CDTF">2019-01-23T09:09:00Z</dcterms:modified>
</cp:coreProperties>
</file>